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1.xml" ContentType="application/vnd.openxmlformats-officedocument.drawingml.chartshapes+xml"/>
  <Override PartName="/word/footer3.xml" ContentType="application/vnd.openxmlformats-officedocument.wordprocessingml.footer+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2.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3.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4.xml" ContentType="application/vnd.openxmlformats-officedocument.themeOverrid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5.xml" ContentType="application/vnd.openxmlformats-officedocument.themeOverrid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6.xml" ContentType="application/vnd.openxmlformats-officedocument.themeOverrid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7.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8.xml" ContentType="application/vnd.openxmlformats-officedocument.themeOverride+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14A924" w14:textId="3F6AC242" w:rsidR="008D7F4E" w:rsidRPr="00232EBB" w:rsidRDefault="00DF0B54" w:rsidP="008D7F4E">
      <w:pPr>
        <w:rPr>
          <w:lang w:val="es-DO"/>
        </w:rPr>
      </w:pPr>
      <w:r w:rsidRPr="00232EBB">
        <w:rPr>
          <w:noProof/>
        </w:rPr>
        <w:drawing>
          <wp:anchor distT="0" distB="0" distL="114300" distR="114300" simplePos="0" relativeHeight="251658242" behindDoc="0" locked="0" layoutInCell="1" allowOverlap="1" wp14:anchorId="3F0A51DA" wp14:editId="1FC1F546">
            <wp:simplePos x="0" y="0"/>
            <wp:positionH relativeFrom="margin">
              <wp:align>center</wp:align>
            </wp:positionH>
            <wp:positionV relativeFrom="paragraph">
              <wp:posOffset>267335</wp:posOffset>
            </wp:positionV>
            <wp:extent cx="1280160" cy="1207770"/>
            <wp:effectExtent l="0" t="0" r="0" b="0"/>
            <wp:wrapNone/>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80160" cy="1207770"/>
                    </a:xfrm>
                    <a:prstGeom prst="rect">
                      <a:avLst/>
                    </a:prstGeom>
                  </pic:spPr>
                </pic:pic>
              </a:graphicData>
            </a:graphic>
            <wp14:sizeRelH relativeFrom="page">
              <wp14:pctWidth>0</wp14:pctWidth>
            </wp14:sizeRelH>
            <wp14:sizeRelV relativeFrom="page">
              <wp14:pctHeight>0</wp14:pctHeight>
            </wp14:sizeRelV>
          </wp:anchor>
        </w:drawing>
      </w:r>
    </w:p>
    <w:p w14:paraId="24A9A258" w14:textId="3DC24FC8" w:rsidR="008D7F4E" w:rsidRPr="00232EBB" w:rsidRDefault="008D7F4E" w:rsidP="008D7F4E">
      <w:pPr>
        <w:rPr>
          <w:lang w:val="es-DO"/>
        </w:rPr>
      </w:pPr>
    </w:p>
    <w:p w14:paraId="1AC5E2C3" w14:textId="77777777" w:rsidR="008D7F4E" w:rsidRPr="00232EBB" w:rsidRDefault="008D7F4E" w:rsidP="008D7F4E">
      <w:pPr>
        <w:rPr>
          <w:lang w:val="es-DO"/>
        </w:rPr>
      </w:pPr>
    </w:p>
    <w:p w14:paraId="34990FAF" w14:textId="52B5DA41" w:rsidR="008D7F4E" w:rsidRPr="00232EBB" w:rsidRDefault="008D7F4E" w:rsidP="008D7F4E">
      <w:pPr>
        <w:rPr>
          <w:lang w:val="es-DO"/>
        </w:rPr>
      </w:pPr>
      <w:bookmarkStart w:id="0" w:name="_Hlk86404256"/>
      <w:bookmarkEnd w:id="0"/>
    </w:p>
    <w:p w14:paraId="6EFB72EE" w14:textId="272B2AD6" w:rsidR="008D7F4E" w:rsidRPr="00232EBB" w:rsidRDefault="008D7F4E" w:rsidP="008D7F4E">
      <w:pPr>
        <w:rPr>
          <w:lang w:val="es-DO"/>
        </w:rPr>
      </w:pPr>
    </w:p>
    <w:p w14:paraId="3F7503CE" w14:textId="172B5CFE" w:rsidR="008D7F4E" w:rsidRPr="00232EBB" w:rsidRDefault="008D7F4E" w:rsidP="008D7F4E">
      <w:pPr>
        <w:rPr>
          <w:lang w:val="es-DO"/>
        </w:rPr>
      </w:pPr>
    </w:p>
    <w:p w14:paraId="071FCCAE" w14:textId="759B330B" w:rsidR="008D7F4E" w:rsidRPr="00232EBB" w:rsidRDefault="00A63A00" w:rsidP="008D7F4E">
      <w:pPr>
        <w:rPr>
          <w:lang w:val="es-DO"/>
        </w:rPr>
      </w:pPr>
      <w:r w:rsidRPr="00232EBB">
        <w:rPr>
          <w:noProof/>
        </w:rPr>
        <mc:AlternateContent>
          <mc:Choice Requires="wps">
            <w:drawing>
              <wp:anchor distT="0" distB="0" distL="114300" distR="114300" simplePos="0" relativeHeight="251658246" behindDoc="0" locked="0" layoutInCell="1" allowOverlap="1" wp14:anchorId="49B1C421" wp14:editId="760C6FE4">
                <wp:simplePos x="0" y="0"/>
                <wp:positionH relativeFrom="margin">
                  <wp:posOffset>1629410</wp:posOffset>
                </wp:positionH>
                <wp:positionV relativeFrom="paragraph">
                  <wp:posOffset>3810</wp:posOffset>
                </wp:positionV>
                <wp:extent cx="1884680" cy="177165"/>
                <wp:effectExtent l="0" t="0" r="0" b="0"/>
                <wp:wrapNone/>
                <wp:docPr id="6" name="object 6"/>
                <wp:cNvGraphicFramePr/>
                <a:graphic xmlns:a="http://schemas.openxmlformats.org/drawingml/2006/main">
                  <a:graphicData uri="http://schemas.microsoft.com/office/word/2010/wordprocessingShape">
                    <wps:wsp>
                      <wps:cNvSpPr txBox="1"/>
                      <wps:spPr>
                        <a:xfrm>
                          <a:off x="0" y="0"/>
                          <a:ext cx="1884680" cy="177165"/>
                        </a:xfrm>
                        <a:prstGeom prst="rect">
                          <a:avLst/>
                        </a:prstGeom>
                      </wps:spPr>
                      <wps:txbx>
                        <w:txbxContent>
                          <w:p w14:paraId="65FDDD46" w14:textId="77777777" w:rsidR="008D7F4E" w:rsidRPr="005C548C" w:rsidRDefault="008D7F4E" w:rsidP="008D7F4E">
                            <w:pPr>
                              <w:spacing w:before="20"/>
                              <w:ind w:left="14"/>
                              <w:rPr>
                                <w:b/>
                                <w:bCs/>
                                <w:color w:val="D0B787"/>
                                <w:spacing w:val="9"/>
                                <w:kern w:val="24"/>
                                <w:sz w:val="20"/>
                                <w:szCs w:val="20"/>
                              </w:rPr>
                            </w:pPr>
                            <w:r w:rsidRPr="005C548C">
                              <w:rPr>
                                <w:b/>
                                <w:bCs/>
                                <w:color w:val="D0B787"/>
                                <w:spacing w:val="9"/>
                                <w:kern w:val="24"/>
                                <w:sz w:val="20"/>
                                <w:szCs w:val="20"/>
                              </w:rPr>
                              <w:t>REPÚBLICA</w:t>
                            </w:r>
                            <w:r w:rsidRPr="005C548C">
                              <w:rPr>
                                <w:b/>
                                <w:bCs/>
                                <w:color w:val="D0B787"/>
                                <w:spacing w:val="11"/>
                                <w:kern w:val="24"/>
                                <w:sz w:val="20"/>
                                <w:szCs w:val="20"/>
                              </w:rPr>
                              <w:t xml:space="preserve"> DOMINICANA</w:t>
                            </w:r>
                          </w:p>
                        </w:txbxContent>
                      </wps:txbx>
                      <wps:bodyPr vert="horz" wrap="square" lIns="0" tIns="1270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49B1C421" id="_x0000_t202" coordsize="21600,21600" o:spt="202" path="m,l,21600r21600,l21600,xe">
                <v:stroke joinstyle="miter"/>
                <v:path gradientshapeok="t" o:connecttype="rect"/>
              </v:shapetype>
              <v:shape id="object 6" o:spid="_x0000_s1026" type="#_x0000_t202" style="position:absolute;margin-left:128.3pt;margin-top:.3pt;width:148.4pt;height:13.95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" filled="f" stroked="f">
                <v:textbox inset="0,1pt,0,0">
                  <w:txbxContent>
                    <w:p w14:paraId="65FDDD46" w14:textId="77777777" w:rsidR="008D7F4E" w:rsidRPr="005C548C" w:rsidRDefault="008D7F4E" w:rsidP="008D7F4E">
                      <w:pPr>
                        <w:spacing w:before="20"/>
                        <w:ind w:left="14"/>
                        <w:rPr>
                          <w:b/>
                          <w:bCs/>
                          <w:color w:val="D0B787"/>
                          <w:spacing w:val="9"/>
                          <w:kern w:val="24"/>
                          <w:sz w:val="20"/>
                          <w:szCs w:val="20"/>
                        </w:rPr>
                      </w:pPr>
                      <w:r w:rsidRPr="005C548C">
                        <w:rPr>
                          <w:b/>
                          <w:bCs/>
                          <w:color w:val="D0B787"/>
                          <w:spacing w:val="9"/>
                          <w:kern w:val="24"/>
                          <w:sz w:val="20"/>
                          <w:szCs w:val="20"/>
                        </w:rPr>
                        <w:t>REPÚBLICA</w:t>
                      </w:r>
                      <w:r w:rsidRPr="005C548C">
                        <w:rPr>
                          <w:b/>
                          <w:bCs/>
                          <w:color w:val="D0B787"/>
                          <w:spacing w:val="11"/>
                          <w:kern w:val="24"/>
                          <w:sz w:val="20"/>
                          <w:szCs w:val="20"/>
                        </w:rPr>
                        <w:t xml:space="preserve"> DOMINICANA</w:t>
                      </w:r>
                    </w:p>
                  </w:txbxContent>
                </v:textbox>
                <w10:wrap anchorx="margin"/>
              </v:shape>
            </w:pict>
          </mc:Fallback>
        </mc:AlternateContent>
      </w:r>
    </w:p>
    <w:p w14:paraId="69FBF6B1" w14:textId="7ADAC71B" w:rsidR="008D7F4E" w:rsidRPr="00232EBB" w:rsidRDefault="008D7F4E" w:rsidP="008D7F4E">
      <w:pPr>
        <w:rPr>
          <w:lang w:val="es-DO"/>
        </w:rPr>
      </w:pPr>
    </w:p>
    <w:p w14:paraId="0233C915" w14:textId="77777777" w:rsidR="008D7F4E" w:rsidRPr="00232EBB" w:rsidRDefault="008D7F4E" w:rsidP="008D7F4E">
      <w:pPr>
        <w:rPr>
          <w:lang w:val="es-DO"/>
        </w:rPr>
      </w:pPr>
    </w:p>
    <w:p w14:paraId="274DCED8" w14:textId="6B1D383D" w:rsidR="004F2DD5" w:rsidRPr="00232EBB" w:rsidRDefault="00CC3FE7" w:rsidP="004F2DD5">
      <w:r w:rsidRPr="00232EBB">
        <w:rPr>
          <w:noProof/>
        </w:rPr>
        <w:drawing>
          <wp:anchor distT="0" distB="0" distL="114300" distR="114300" simplePos="0" relativeHeight="251658262" behindDoc="0" locked="0" layoutInCell="1" allowOverlap="1" wp14:anchorId="3FB227F9" wp14:editId="323C1197">
            <wp:simplePos x="0" y="0"/>
            <wp:positionH relativeFrom="margin">
              <wp:posOffset>3748405</wp:posOffset>
            </wp:positionH>
            <wp:positionV relativeFrom="paragraph">
              <wp:posOffset>4816475</wp:posOffset>
            </wp:positionV>
            <wp:extent cx="1847850" cy="789305"/>
            <wp:effectExtent l="0" t="0" r="0" b="0"/>
            <wp:wrapNone/>
            <wp:docPr id="25" name="Picture 25" descr="A picture containing text, font, businesscard, graphics&#10;&#10;Description automatically generated"/>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 font, businesscard, graphic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47850" cy="789305"/>
                    </a:xfrm>
                    <a:prstGeom prst="rect">
                      <a:avLst/>
                    </a:prstGeom>
                  </pic:spPr>
                </pic:pic>
              </a:graphicData>
            </a:graphic>
          </wp:anchor>
        </w:drawing>
      </w:r>
      <w:r w:rsidR="00CD2766" w:rsidRPr="00232EBB">
        <w:rPr>
          <w:noProof/>
        </w:rPr>
        <mc:AlternateContent>
          <mc:Choice Requires="wpg">
            <w:drawing>
              <wp:anchor distT="0" distB="0" distL="114300" distR="114300" simplePos="0" relativeHeight="251670564" behindDoc="0" locked="0" layoutInCell="1" allowOverlap="1" wp14:anchorId="34509AE8" wp14:editId="75C6D1F0">
                <wp:simplePos x="0" y="0"/>
                <wp:positionH relativeFrom="column">
                  <wp:posOffset>-514350</wp:posOffset>
                </wp:positionH>
                <wp:positionV relativeFrom="paragraph">
                  <wp:posOffset>4593590</wp:posOffset>
                </wp:positionV>
                <wp:extent cx="2527300" cy="1005840"/>
                <wp:effectExtent l="0" t="0" r="0" b="3810"/>
                <wp:wrapNone/>
                <wp:docPr id="1883196255" name="Group 1883196255"/>
                <wp:cNvGraphicFramePr/>
                <a:graphic xmlns:a="http://schemas.openxmlformats.org/drawingml/2006/main">
                  <a:graphicData uri="http://schemas.microsoft.com/office/word/2010/wordprocessingGroup">
                    <wpg:wgp>
                      <wpg:cNvGrpSpPr/>
                      <wpg:grpSpPr>
                        <a:xfrm>
                          <a:off x="0" y="0"/>
                          <a:ext cx="2527300" cy="1005840"/>
                          <a:chOff x="0" y="0"/>
                          <a:chExt cx="2527539" cy="1005840"/>
                        </a:xfrm>
                      </wpg:grpSpPr>
                      <wps:wsp>
                        <wps:cNvPr id="730919485" name="Text Box 730919485"/>
                        <wps:cNvSpPr txBox="1">
                          <a:spLocks/>
                        </wps:cNvSpPr>
                        <wps:spPr>
                          <a:xfrm>
                            <a:off x="0" y="600075"/>
                            <a:ext cx="2527539" cy="371475"/>
                          </a:xfrm>
                          <a:prstGeom prst="rect">
                            <a:avLst/>
                          </a:prstGeom>
                        </wps:spPr>
                        <wps:txbx>
                          <w:txbxContent>
                            <w:p w14:paraId="3F343A8C" w14:textId="77777777" w:rsidR="00CD2766" w:rsidRPr="003A00CC" w:rsidRDefault="00CD2766" w:rsidP="00CD2766">
                              <w:pPr>
                                <w:pStyle w:val="NoSpacing"/>
                                <w:rPr>
                                  <w:rFonts w:ascii="Arial MT" w:hAnsi="Arial MT" w:cs="Arial MT"/>
                                  <w:color w:val="D5B788"/>
                                  <w:spacing w:val="23"/>
                                  <w:kern w:val="24"/>
                                  <w:sz w:val="15"/>
                                  <w:szCs w:val="15"/>
                                </w:rPr>
                              </w:pPr>
                              <w:r w:rsidRPr="003A00CC">
                                <w:rPr>
                                  <w:rFonts w:ascii="Arial MT" w:hAnsi="Arial MT" w:cs="Arial MT"/>
                                  <w:color w:val="D5B788"/>
                                  <w:spacing w:val="23"/>
                                  <w:kern w:val="24"/>
                                  <w:sz w:val="15"/>
                                  <w:szCs w:val="15"/>
                                </w:rPr>
                                <w:t>GOBIERNO DE LA</w:t>
                              </w:r>
                            </w:p>
                            <w:p w14:paraId="51B6E2E0" w14:textId="77777777" w:rsidR="00CD2766" w:rsidRDefault="00CD2766" w:rsidP="00CD2766">
                              <w:pPr>
                                <w:spacing w:before="13"/>
                                <w:ind w:left="14"/>
                                <w:rPr>
                                  <w:rFonts w:ascii="Georgia" w:hAnsi="Georgia" w:cs="Georgia"/>
                                  <w:b/>
                                  <w:bCs/>
                                  <w:color w:val="D5B788"/>
                                  <w:spacing w:val="18"/>
                                  <w:kern w:val="24"/>
                                </w:rPr>
                              </w:pPr>
                              <w:r>
                                <w:rPr>
                                  <w:rFonts w:ascii="Georgia" w:hAnsi="Georgia" w:cs="Georgia"/>
                                  <w:b/>
                                  <w:bCs/>
                                  <w:color w:val="D5B788"/>
                                  <w:spacing w:val="18"/>
                                  <w:kern w:val="24"/>
                                </w:rPr>
                                <w:t>REPÚBLICA</w:t>
                              </w:r>
                              <w:r>
                                <w:rPr>
                                  <w:rFonts w:ascii="Georgia" w:hAnsi="Georgia" w:cs="Georgia"/>
                                  <w:b/>
                                  <w:bCs/>
                                  <w:color w:val="D5B788"/>
                                  <w:spacing w:val="29"/>
                                  <w:kern w:val="24"/>
                                </w:rPr>
                                <w:t xml:space="preserve"> </w:t>
                              </w:r>
                              <w:r>
                                <w:rPr>
                                  <w:rFonts w:ascii="Georgia" w:hAnsi="Georgia" w:cs="Georgia"/>
                                  <w:b/>
                                  <w:bCs/>
                                  <w:color w:val="D5B788"/>
                                  <w:kern w:val="24"/>
                                </w:rPr>
                                <w:t>DOMINICANA</w:t>
                              </w:r>
                            </w:p>
                          </w:txbxContent>
                        </wps:txbx>
                        <wps:bodyPr vert="horz" wrap="square" lIns="0" tIns="15240" rIns="0" bIns="0" rtlCol="0">
                          <a:noAutofit/>
                        </wps:bodyPr>
                      </wps:wsp>
                      <wpg:grpSp>
                        <wpg:cNvPr id="1013129426" name="Group 1013129426"/>
                        <wpg:cNvGrpSpPr/>
                        <wpg:grpSpPr>
                          <a:xfrm>
                            <a:off x="0" y="0"/>
                            <a:ext cx="612775" cy="1005840"/>
                            <a:chOff x="0" y="0"/>
                            <a:chExt cx="612775" cy="1005840"/>
                          </a:xfrm>
                        </wpg:grpSpPr>
                        <wps:wsp>
                          <wps:cNvPr id="102724196" name="Freeform: Shape 102724196"/>
                          <wps:cNvSpPr>
                            <a:spLocks/>
                          </wps:cNvSpPr>
                          <wps:spPr>
                            <a:xfrm>
                              <a:off x="0" y="981075"/>
                              <a:ext cx="513080" cy="24765"/>
                            </a:xfrm>
                            <a:custGeom>
                              <a:avLst/>
                              <a:gdLst/>
                              <a:ahLst/>
                              <a:cxnLst/>
                              <a:rect l="l" t="t" r="r" b="b"/>
                              <a:pathLst>
                                <a:path w="513080" h="24765">
                                  <a:moveTo>
                                    <a:pt x="512457" y="0"/>
                                  </a:moveTo>
                                  <a:lnTo>
                                    <a:pt x="0" y="0"/>
                                  </a:lnTo>
                                  <a:lnTo>
                                    <a:pt x="0" y="24256"/>
                                  </a:lnTo>
                                  <a:lnTo>
                                    <a:pt x="512457" y="24256"/>
                                  </a:lnTo>
                                  <a:lnTo>
                                    <a:pt x="512457" y="0"/>
                                  </a:lnTo>
                                  <a:close/>
                                </a:path>
                              </a:pathLst>
                            </a:custGeom>
                            <a:solidFill>
                              <a:srgbClr val="D5B788"/>
                            </a:solidFill>
                          </wps:spPr>
                          <wps:bodyPr wrap="square" lIns="0" tIns="0" rIns="0" bIns="0" rtlCol="0"/>
                        </wps:wsp>
                        <pic:pic xmlns:pic="http://schemas.openxmlformats.org/drawingml/2006/picture">
                          <pic:nvPicPr>
                            <pic:cNvPr id="620090040" name="Picture 620090040" descr="Icon&#10;&#10;Description automatically generated"/>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775" cy="571500"/>
                            </a:xfrm>
                            <a:prstGeom prst="rect">
                              <a:avLst/>
                            </a:prstGeom>
                          </pic:spPr>
                        </pic:pic>
                      </wpg:grpSp>
                    </wpg:wgp>
                  </a:graphicData>
                </a:graphic>
                <wp14:sizeRelH relativeFrom="margin">
                  <wp14:pctWidth>0</wp14:pctWidth>
                </wp14:sizeRelH>
              </wp:anchor>
            </w:drawing>
          </mc:Choice>
          <mc:Fallback>
            <w:pict>
              <v:group w14:anchorId="34509AE8" id="Group 1883196255" o:spid="_x0000_s1027" style="position:absolute;margin-left:-40.5pt;margin-top:361.7pt;width:199pt;height:79.2pt;z-index:251670564;mso-width-relative:margin" coordsize="25275,100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">
                <v:shape id="Text Box 730919485" o:spid="_x0000_s1028" type="#_x0000_t202" style="position:absolute;top:6000;width:25275;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" filled="f" stroked="f">
                  <v:textbox inset="0,1.2pt,0,0">
                    <w:txbxContent>
                      <w:p w14:paraId="3F343A8C" w14:textId="77777777" w:rsidR="00CD2766" w:rsidRPr="003A00CC" w:rsidRDefault="00CD2766" w:rsidP="00CD2766">
                        <w:pPr>
                          <w:pStyle w:val="NoSpacing"/>
                          <w:rPr>
                            <w:rFonts w:ascii="Arial MT" w:hAnsi="Arial MT" w:cs="Arial MT"/>
                            <w:color w:val="D5B788"/>
                            <w:spacing w:val="23"/>
                            <w:kern w:val="24"/>
                            <w:sz w:val="15"/>
                            <w:szCs w:val="15"/>
                          </w:rPr>
                        </w:pPr>
                        <w:r w:rsidRPr="003A00CC">
                          <w:rPr>
                            <w:rFonts w:ascii="Arial MT" w:hAnsi="Arial MT" w:cs="Arial MT"/>
                            <w:color w:val="D5B788"/>
                            <w:spacing w:val="23"/>
                            <w:kern w:val="24"/>
                            <w:sz w:val="15"/>
                            <w:szCs w:val="15"/>
                          </w:rPr>
                          <w:t>GOBIERNO DE LA</w:t>
                        </w:r>
                      </w:p>
                      <w:p w14:paraId="51B6E2E0" w14:textId="77777777" w:rsidR="00CD2766" w:rsidRDefault="00CD2766" w:rsidP="00CD2766">
                        <w:pPr>
                          <w:spacing w:before="13"/>
                          <w:ind w:left="14"/>
                          <w:rPr>
                            <w:rFonts w:ascii="Georgia" w:hAnsi="Georgia" w:cs="Georgia"/>
                            <w:b/>
                            <w:bCs/>
                            <w:color w:val="D5B788"/>
                            <w:spacing w:val="18"/>
                            <w:kern w:val="24"/>
                          </w:rPr>
                        </w:pPr>
                        <w:r>
                          <w:rPr>
                            <w:rFonts w:ascii="Georgia" w:hAnsi="Georgia" w:cs="Georgia"/>
                            <w:b/>
                            <w:bCs/>
                            <w:color w:val="D5B788"/>
                            <w:spacing w:val="18"/>
                            <w:kern w:val="24"/>
                          </w:rPr>
                          <w:t>REPÚBLICA</w:t>
                        </w:r>
                        <w:r>
                          <w:rPr>
                            <w:rFonts w:ascii="Georgia" w:hAnsi="Georgia" w:cs="Georgia"/>
                            <w:b/>
                            <w:bCs/>
                            <w:color w:val="D5B788"/>
                            <w:spacing w:val="29"/>
                            <w:kern w:val="24"/>
                          </w:rPr>
                          <w:t xml:space="preserve"> </w:t>
                        </w:r>
                        <w:r>
                          <w:rPr>
                            <w:rFonts w:ascii="Georgia" w:hAnsi="Georgia" w:cs="Georgia"/>
                            <w:b/>
                            <w:bCs/>
                            <w:color w:val="D5B788"/>
                            <w:kern w:val="24"/>
                          </w:rPr>
                          <w:t>DOMINICANA</w:t>
                        </w:r>
                      </w:p>
                    </w:txbxContent>
                  </v:textbox>
                </v:shape>
                <v:group id="Group 1013129426" o:spid="_x0000_s1029" style="position:absolute;width:6127;height:10058" coordsize="6127,10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">
                  <v:shape id="Freeform: Shape 102724196" o:spid="_x0000_s1030" style="position:absolute;top:9810;width:5130;height:248;visibility:visible;mso-wrap-style:square;v-text-anchor:top" coordsize="513080,24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" path="m512457,l,,,24256r512457,l512457,xe" fillcolor="#d5b788"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20090040" o:spid="_x0000_s1031" type="#_x0000_t75" alt="Icon&#10;&#10;Description automatically generated" style="position:absolute;width:6127;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">
                    <v:imagedata r:id="rId14" o:title="Icon&#10;&#10;Description automatically generated"/>
                  </v:shape>
                </v:group>
              </v:group>
            </w:pict>
          </mc:Fallback>
        </mc:AlternateContent>
      </w:r>
      <w:r w:rsidR="001E0D49" w:rsidRPr="00232EBB">
        <w:rPr>
          <w:noProof/>
        </w:rPr>
        <mc:AlternateContent>
          <mc:Choice Requires="wps">
            <w:drawing>
              <wp:anchor distT="0" distB="0" distL="114300" distR="114300" simplePos="0" relativeHeight="251658245" behindDoc="0" locked="0" layoutInCell="1" allowOverlap="1" wp14:anchorId="6B2EB822" wp14:editId="0F57EF05">
                <wp:simplePos x="0" y="0"/>
                <wp:positionH relativeFrom="margin">
                  <wp:align>center</wp:align>
                </wp:positionH>
                <wp:positionV relativeFrom="paragraph">
                  <wp:posOffset>2543810</wp:posOffset>
                </wp:positionV>
                <wp:extent cx="1210945" cy="308610"/>
                <wp:effectExtent l="0" t="0" r="0" b="0"/>
                <wp:wrapNone/>
                <wp:docPr id="5" name="object 5"/>
                <wp:cNvGraphicFramePr/>
                <a:graphic xmlns:a="http://schemas.openxmlformats.org/drawingml/2006/main">
                  <a:graphicData uri="http://schemas.microsoft.com/office/word/2010/wordprocessingShape">
                    <wps:wsp>
                      <wps:cNvSpPr txBox="1"/>
                      <wps:spPr>
                        <a:xfrm>
                          <a:off x="0" y="0"/>
                          <a:ext cx="1210945" cy="308610"/>
                        </a:xfrm>
                        <a:prstGeom prst="rect">
                          <a:avLst/>
                        </a:prstGeom>
                      </wps:spPr>
                      <wps:txbx>
                        <w:txbxContent>
                          <w:p w14:paraId="50ABDE0F" w14:textId="5CDE3955" w:rsidR="008D7F4E" w:rsidRPr="00F36012" w:rsidRDefault="008D7F4E" w:rsidP="008D7F4E">
                            <w:pPr>
                              <w:spacing w:before="20"/>
                              <w:ind w:left="14"/>
                              <w:rPr>
                                <w:b/>
                                <w:bCs/>
                                <w:color w:val="D5B788"/>
                                <w:spacing w:val="74"/>
                                <w:kern w:val="24"/>
                                <w:sz w:val="28"/>
                                <w:szCs w:val="28"/>
                              </w:rPr>
                            </w:pPr>
                            <w:r w:rsidRPr="00F36012">
                              <w:rPr>
                                <w:b/>
                                <w:bCs/>
                                <w:color w:val="D5B788"/>
                                <w:spacing w:val="74"/>
                                <w:kern w:val="24"/>
                                <w:sz w:val="28"/>
                                <w:szCs w:val="28"/>
                              </w:rPr>
                              <w:t>AÑ</w:t>
                            </w:r>
                            <w:r w:rsidRPr="00F36012">
                              <w:rPr>
                                <w:b/>
                                <w:bCs/>
                                <w:color w:val="D5B788"/>
                                <w:spacing w:val="37"/>
                                <w:kern w:val="24"/>
                                <w:sz w:val="28"/>
                                <w:szCs w:val="28"/>
                              </w:rPr>
                              <w:t>O</w:t>
                            </w:r>
                            <w:r w:rsidRPr="00F36012">
                              <w:rPr>
                                <w:b/>
                                <w:bCs/>
                                <w:color w:val="D5B788"/>
                                <w:spacing w:val="74"/>
                                <w:kern w:val="24"/>
                                <w:sz w:val="28"/>
                                <w:szCs w:val="28"/>
                              </w:rPr>
                              <w:t xml:space="preserve"> </w:t>
                            </w:r>
                            <w:r w:rsidRPr="00F36012">
                              <w:rPr>
                                <w:b/>
                                <w:bCs/>
                                <w:color w:val="D5B788"/>
                                <w:spacing w:val="68"/>
                                <w:kern w:val="24"/>
                                <w:sz w:val="28"/>
                                <w:szCs w:val="28"/>
                              </w:rPr>
                              <w:t>2</w:t>
                            </w:r>
                            <w:r w:rsidRPr="00F36012">
                              <w:rPr>
                                <w:b/>
                                <w:bCs/>
                                <w:color w:val="D5B788"/>
                                <w:spacing w:val="28"/>
                                <w:kern w:val="24"/>
                                <w:sz w:val="28"/>
                                <w:szCs w:val="28"/>
                              </w:rPr>
                              <w:t>0</w:t>
                            </w:r>
                            <w:r w:rsidRPr="00F36012">
                              <w:rPr>
                                <w:b/>
                                <w:bCs/>
                                <w:color w:val="D5B788"/>
                                <w:spacing w:val="-23"/>
                                <w:kern w:val="24"/>
                                <w:sz w:val="28"/>
                                <w:szCs w:val="28"/>
                              </w:rPr>
                              <w:t xml:space="preserve"> </w:t>
                            </w:r>
                            <w:r w:rsidRPr="00F36012">
                              <w:rPr>
                                <w:b/>
                                <w:bCs/>
                                <w:color w:val="D5B788"/>
                                <w:spacing w:val="68"/>
                                <w:kern w:val="24"/>
                                <w:sz w:val="28"/>
                                <w:szCs w:val="28"/>
                              </w:rPr>
                              <w:t>2</w:t>
                            </w:r>
                            <w:r w:rsidR="00B278C4">
                              <w:rPr>
                                <w:b/>
                                <w:bCs/>
                                <w:color w:val="D5B788"/>
                                <w:spacing w:val="68"/>
                                <w:kern w:val="24"/>
                                <w:sz w:val="28"/>
                                <w:szCs w:val="28"/>
                              </w:rPr>
                              <w:t>5</w:t>
                            </w:r>
                            <w:r w:rsidRPr="00F36012">
                              <w:rPr>
                                <w:b/>
                                <w:bCs/>
                                <w:color w:val="D5B788"/>
                                <w:spacing w:val="-21"/>
                                <w:kern w:val="24"/>
                                <w:sz w:val="28"/>
                                <w:szCs w:val="28"/>
                              </w:rPr>
                              <w:t xml:space="preserve"> </w:t>
                            </w:r>
                          </w:p>
                        </w:txbxContent>
                      </wps:txbx>
                      <wps:bodyPr vert="horz" wrap="square" lIns="0" tIns="12700" rIns="0" bIns="0" rtlCol="0">
                        <a:noAutofit/>
                      </wps:bodyPr>
                    </wps:wsp>
                  </a:graphicData>
                </a:graphic>
                <wp14:sizeRelH relativeFrom="margin">
                  <wp14:pctWidth>0</wp14:pctWidth>
                </wp14:sizeRelH>
                <wp14:sizeRelV relativeFrom="margin">
                  <wp14:pctHeight>0</wp14:pctHeight>
                </wp14:sizeRelV>
              </wp:anchor>
            </w:drawing>
          </mc:Choice>
          <mc:Fallback>
            <w:pict>
              <v:shape w14:anchorId="6B2EB822" id="object 5" o:spid="_x0000_s1032" type="#_x0000_t202" style="position:absolute;margin-left:0;margin-top:200.3pt;width:95.35pt;height:24.3pt;z-index:251658245;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" filled="f" stroked="f">
                <v:textbox inset="0,1pt,0,0">
                  <w:txbxContent>
                    <w:p w14:paraId="50ABDE0F" w14:textId="5CDE3955" w:rsidR="008D7F4E" w:rsidRPr="00F36012" w:rsidRDefault="008D7F4E" w:rsidP="008D7F4E">
                      <w:pPr>
                        <w:spacing w:before="20"/>
                        <w:ind w:left="14"/>
                        <w:rPr>
                          <w:b/>
                          <w:bCs/>
                          <w:color w:val="D5B788"/>
                          <w:spacing w:val="74"/>
                          <w:kern w:val="24"/>
                          <w:sz w:val="28"/>
                          <w:szCs w:val="28"/>
                        </w:rPr>
                      </w:pPr>
                      <w:r w:rsidRPr="00F36012">
                        <w:rPr>
                          <w:b/>
                          <w:bCs/>
                          <w:color w:val="D5B788"/>
                          <w:spacing w:val="74"/>
                          <w:kern w:val="24"/>
                          <w:sz w:val="28"/>
                          <w:szCs w:val="28"/>
                        </w:rPr>
                        <w:t>AÑ</w:t>
                      </w:r>
                      <w:r w:rsidRPr="00F36012">
                        <w:rPr>
                          <w:b/>
                          <w:bCs/>
                          <w:color w:val="D5B788"/>
                          <w:spacing w:val="37"/>
                          <w:kern w:val="24"/>
                          <w:sz w:val="28"/>
                          <w:szCs w:val="28"/>
                        </w:rPr>
                        <w:t>O</w:t>
                      </w:r>
                      <w:r w:rsidRPr="00F36012">
                        <w:rPr>
                          <w:b/>
                          <w:bCs/>
                          <w:color w:val="D5B788"/>
                          <w:spacing w:val="74"/>
                          <w:kern w:val="24"/>
                          <w:sz w:val="28"/>
                          <w:szCs w:val="28"/>
                        </w:rPr>
                        <w:t xml:space="preserve"> </w:t>
                      </w:r>
                      <w:r w:rsidRPr="00F36012">
                        <w:rPr>
                          <w:b/>
                          <w:bCs/>
                          <w:color w:val="D5B788"/>
                          <w:spacing w:val="68"/>
                          <w:kern w:val="24"/>
                          <w:sz w:val="28"/>
                          <w:szCs w:val="28"/>
                        </w:rPr>
                        <w:t>2</w:t>
                      </w:r>
                      <w:r w:rsidRPr="00F36012">
                        <w:rPr>
                          <w:b/>
                          <w:bCs/>
                          <w:color w:val="D5B788"/>
                          <w:spacing w:val="28"/>
                          <w:kern w:val="24"/>
                          <w:sz w:val="28"/>
                          <w:szCs w:val="28"/>
                        </w:rPr>
                        <w:t>0</w:t>
                      </w:r>
                      <w:r w:rsidRPr="00F36012">
                        <w:rPr>
                          <w:b/>
                          <w:bCs/>
                          <w:color w:val="D5B788"/>
                          <w:spacing w:val="-23"/>
                          <w:kern w:val="24"/>
                          <w:sz w:val="28"/>
                          <w:szCs w:val="28"/>
                        </w:rPr>
                        <w:t xml:space="preserve"> </w:t>
                      </w:r>
                      <w:r w:rsidRPr="00F36012">
                        <w:rPr>
                          <w:b/>
                          <w:bCs/>
                          <w:color w:val="D5B788"/>
                          <w:spacing w:val="68"/>
                          <w:kern w:val="24"/>
                          <w:sz w:val="28"/>
                          <w:szCs w:val="28"/>
                        </w:rPr>
                        <w:t>2</w:t>
                      </w:r>
                      <w:r w:rsidR="00B278C4">
                        <w:rPr>
                          <w:b/>
                          <w:bCs/>
                          <w:color w:val="D5B788"/>
                          <w:spacing w:val="68"/>
                          <w:kern w:val="24"/>
                          <w:sz w:val="28"/>
                          <w:szCs w:val="28"/>
                        </w:rPr>
                        <w:t>5</w:t>
                      </w:r>
                      <w:r w:rsidRPr="00F36012">
                        <w:rPr>
                          <w:b/>
                          <w:bCs/>
                          <w:color w:val="D5B788"/>
                          <w:spacing w:val="-21"/>
                          <w:kern w:val="24"/>
                          <w:sz w:val="28"/>
                          <w:szCs w:val="28"/>
                        </w:rPr>
                        <w:t xml:space="preserve"> </w:t>
                      </w:r>
                    </w:p>
                  </w:txbxContent>
                </v:textbox>
                <w10:wrap anchorx="margin"/>
              </v:shape>
            </w:pict>
          </mc:Fallback>
        </mc:AlternateContent>
      </w:r>
      <w:r w:rsidR="001E0D49" w:rsidRPr="00232EBB">
        <w:rPr>
          <w:noProof/>
        </w:rPr>
        <mc:AlternateContent>
          <mc:Choice Requires="wps">
            <w:drawing>
              <wp:anchor distT="4294967295" distB="4294967295" distL="114300" distR="114300" simplePos="0" relativeHeight="251658251" behindDoc="0" locked="0" layoutInCell="1" allowOverlap="1" wp14:anchorId="209AF3DE" wp14:editId="6BC02F34">
                <wp:simplePos x="0" y="0"/>
                <wp:positionH relativeFrom="margin">
                  <wp:align>center</wp:align>
                </wp:positionH>
                <wp:positionV relativeFrom="paragraph">
                  <wp:posOffset>2141855</wp:posOffset>
                </wp:positionV>
                <wp:extent cx="463550" cy="0"/>
                <wp:effectExtent l="0" t="19050" r="31750" b="1905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63550" cy="0"/>
                        </a:xfrm>
                        <a:prstGeom prst="line">
                          <a:avLst/>
                        </a:prstGeom>
                        <a:noFill/>
                        <a:ln w="28575" cap="flat" cmpd="sng" algn="ctr">
                          <a:solidFill>
                            <a:srgbClr val="C8B688"/>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16ED9B1B" id="Straight Connector 9" o:spid="_x0000_s1026" style="position:absolute;z-index:251658251;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page;mso-height-relative:page" from="0,168.65pt" to="36.5pt,16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" strokecolor="#c8b688" strokeweight="2.25pt">
                <v:stroke joinstyle="miter"/>
                <o:lock v:ext="edit" shapetype="f"/>
                <w10:wrap anchorx="margin"/>
              </v:line>
            </w:pict>
          </mc:Fallback>
        </mc:AlternateContent>
      </w:r>
      <w:r w:rsidR="001E0D49" w:rsidRPr="00232EBB">
        <w:rPr>
          <w:noProof/>
        </w:rPr>
        <mc:AlternateContent>
          <mc:Choice Requires="wps">
            <w:drawing>
              <wp:anchor distT="0" distB="0" distL="114300" distR="114300" simplePos="0" relativeHeight="251658243" behindDoc="0" locked="0" layoutInCell="1" allowOverlap="1" wp14:anchorId="0C109D41" wp14:editId="4D772B0C">
                <wp:simplePos x="0" y="0"/>
                <wp:positionH relativeFrom="margin">
                  <wp:align>center</wp:align>
                </wp:positionH>
                <wp:positionV relativeFrom="paragraph">
                  <wp:posOffset>1002030</wp:posOffset>
                </wp:positionV>
                <wp:extent cx="5758815" cy="985651"/>
                <wp:effectExtent l="0" t="0" r="0" b="0"/>
                <wp:wrapNone/>
                <wp:docPr id="4" name="object 4"/>
                <wp:cNvGraphicFramePr/>
                <a:graphic xmlns:a="http://schemas.openxmlformats.org/drawingml/2006/main">
                  <a:graphicData uri="http://schemas.microsoft.com/office/word/2010/wordprocessingShape">
                    <wps:wsp>
                      <wps:cNvSpPr txBox="1"/>
                      <wps:spPr>
                        <a:xfrm>
                          <a:off x="0" y="0"/>
                          <a:ext cx="5758815" cy="985651"/>
                        </a:xfrm>
                        <a:prstGeom prst="rect">
                          <a:avLst/>
                        </a:prstGeom>
                      </wps:spPr>
                      <wps:txbx>
                        <w:txbxContent>
                          <w:p w14:paraId="31112306" w14:textId="77777777" w:rsidR="00654164" w:rsidRDefault="00654164" w:rsidP="00654164">
                            <w:pPr>
                              <w:spacing w:after="0"/>
                              <w:jc w:val="center"/>
                              <w:rPr>
                                <w:b/>
                                <w:bCs/>
                                <w:color w:val="D5B788"/>
                                <w:spacing w:val="60"/>
                                <w:kern w:val="24"/>
                                <w:sz w:val="56"/>
                                <w:szCs w:val="56"/>
                                <w:lang w:val="es-DO"/>
                              </w:rPr>
                            </w:pPr>
                            <w:r>
                              <w:rPr>
                                <w:b/>
                                <w:bCs/>
                                <w:color w:val="D5B788"/>
                                <w:spacing w:val="60"/>
                                <w:kern w:val="24"/>
                                <w:sz w:val="56"/>
                                <w:szCs w:val="56"/>
                                <w:lang w:val="es-DO"/>
                              </w:rPr>
                              <w:t xml:space="preserve">MEMORIA </w:t>
                            </w:r>
                          </w:p>
                          <w:p w14:paraId="79797032" w14:textId="77777777" w:rsidR="00654164" w:rsidRDefault="00654164" w:rsidP="00654164">
                            <w:pPr>
                              <w:spacing w:after="0"/>
                              <w:jc w:val="center"/>
                              <w:rPr>
                                <w:b/>
                                <w:bCs/>
                                <w:color w:val="D5B788"/>
                                <w:spacing w:val="60"/>
                                <w:kern w:val="24"/>
                                <w:sz w:val="56"/>
                                <w:szCs w:val="56"/>
                                <w:lang w:val="es-DO"/>
                              </w:rPr>
                            </w:pPr>
                            <w:r>
                              <w:rPr>
                                <w:b/>
                                <w:bCs/>
                                <w:color w:val="D5B788"/>
                                <w:spacing w:val="60"/>
                                <w:kern w:val="24"/>
                                <w:sz w:val="56"/>
                                <w:szCs w:val="56"/>
                                <w:lang w:val="es-DO"/>
                              </w:rPr>
                              <w:t>INSTITUCIONAL</w:t>
                            </w:r>
                          </w:p>
                          <w:p w14:paraId="0C3AA7DD" w14:textId="4D898DC8" w:rsidR="008D7F4E" w:rsidRPr="008D7F4E" w:rsidRDefault="008D7F4E" w:rsidP="008D7F4E">
                            <w:pPr>
                              <w:spacing w:after="0"/>
                              <w:jc w:val="center"/>
                              <w:rPr>
                                <w:b/>
                                <w:bCs/>
                                <w:color w:val="D5B788"/>
                                <w:spacing w:val="60"/>
                                <w:kern w:val="24"/>
                                <w:sz w:val="56"/>
                                <w:szCs w:val="56"/>
                                <w:lang w:val="es-DO"/>
                              </w:rPr>
                            </w:pPr>
                          </w:p>
                        </w:txbxContent>
                      </wps:txbx>
                      <wps:bodyPr vert="horz" wrap="square" lIns="0" tIns="17145" rIns="0" bIns="0" rtlCol="0">
                        <a:noAutofit/>
                      </wps:bodyPr>
                    </wps:wsp>
                  </a:graphicData>
                </a:graphic>
                <wp14:sizeRelH relativeFrom="margin">
                  <wp14:pctWidth>0</wp14:pctWidth>
                </wp14:sizeRelH>
                <wp14:sizeRelV relativeFrom="margin">
                  <wp14:pctHeight>0</wp14:pctHeight>
                </wp14:sizeRelV>
              </wp:anchor>
            </w:drawing>
          </mc:Choice>
          <mc:Fallback>
            <w:pict>
              <v:shape w14:anchorId="0C109D41" id="object 4" o:spid="_x0000_s1033" type="#_x0000_t202" style="position:absolute;margin-left:0;margin-top:78.9pt;width:453.45pt;height:77.6pt;z-index:251658243;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" filled="f" stroked="f">
                <v:textbox inset="0,1.35pt,0,0">
                  <w:txbxContent>
                    <w:p w14:paraId="31112306" w14:textId="77777777" w:rsidR="00654164" w:rsidRDefault="00654164" w:rsidP="00654164">
                      <w:pPr>
                        <w:spacing w:after="0"/>
                        <w:jc w:val="center"/>
                        <w:rPr>
                          <w:b/>
                          <w:bCs/>
                          <w:color w:val="D5B788"/>
                          <w:spacing w:val="60"/>
                          <w:kern w:val="24"/>
                          <w:sz w:val="56"/>
                          <w:szCs w:val="56"/>
                          <w:lang w:val="es-DO"/>
                        </w:rPr>
                      </w:pPr>
                      <w:r>
                        <w:rPr>
                          <w:b/>
                          <w:bCs/>
                          <w:color w:val="D5B788"/>
                          <w:spacing w:val="60"/>
                          <w:kern w:val="24"/>
                          <w:sz w:val="56"/>
                          <w:szCs w:val="56"/>
                          <w:lang w:val="es-DO"/>
                        </w:rPr>
                        <w:t xml:space="preserve">MEMORIA </w:t>
                      </w:r>
                    </w:p>
                    <w:p w14:paraId="79797032" w14:textId="77777777" w:rsidR="00654164" w:rsidRDefault="00654164" w:rsidP="00654164">
                      <w:pPr>
                        <w:spacing w:after="0"/>
                        <w:jc w:val="center"/>
                        <w:rPr>
                          <w:b/>
                          <w:bCs/>
                          <w:color w:val="D5B788"/>
                          <w:spacing w:val="60"/>
                          <w:kern w:val="24"/>
                          <w:sz w:val="56"/>
                          <w:szCs w:val="56"/>
                          <w:lang w:val="es-DO"/>
                        </w:rPr>
                      </w:pPr>
                      <w:r>
                        <w:rPr>
                          <w:b/>
                          <w:bCs/>
                          <w:color w:val="D5B788"/>
                          <w:spacing w:val="60"/>
                          <w:kern w:val="24"/>
                          <w:sz w:val="56"/>
                          <w:szCs w:val="56"/>
                          <w:lang w:val="es-DO"/>
                        </w:rPr>
                        <w:t>INSTITUCIONAL</w:t>
                      </w:r>
                    </w:p>
                    <w:p w14:paraId="0C3AA7DD" w14:textId="4D898DC8" w:rsidR="008D7F4E" w:rsidRPr="008D7F4E" w:rsidRDefault="008D7F4E" w:rsidP="008D7F4E">
                      <w:pPr>
                        <w:spacing w:after="0"/>
                        <w:jc w:val="center"/>
                        <w:rPr>
                          <w:b/>
                          <w:bCs/>
                          <w:color w:val="D5B788"/>
                          <w:spacing w:val="60"/>
                          <w:kern w:val="24"/>
                          <w:sz w:val="56"/>
                          <w:szCs w:val="56"/>
                          <w:lang w:val="es-DO"/>
                        </w:rPr>
                      </w:pPr>
                    </w:p>
                  </w:txbxContent>
                </v:textbox>
                <w10:wrap anchorx="margin"/>
              </v:shape>
            </w:pict>
          </mc:Fallback>
        </mc:AlternateContent>
      </w:r>
      <w:r w:rsidR="006160B6" w:rsidRPr="00232EBB">
        <w:rPr>
          <w:noProof/>
        </w:rPr>
        <mc:AlternateContent>
          <mc:Choice Requires="wps">
            <w:drawing>
              <wp:anchor distT="0" distB="0" distL="114300" distR="114300" simplePos="0" relativeHeight="251658250" behindDoc="0" locked="0" layoutInCell="1" allowOverlap="1" wp14:anchorId="4B9C2ACC" wp14:editId="1F9849E4">
                <wp:simplePos x="0" y="0"/>
                <wp:positionH relativeFrom="column">
                  <wp:posOffset>4719955</wp:posOffset>
                </wp:positionH>
                <wp:positionV relativeFrom="paragraph">
                  <wp:posOffset>8886825</wp:posOffset>
                </wp:positionV>
                <wp:extent cx="542925" cy="509270"/>
                <wp:effectExtent l="0" t="0" r="9525" b="5080"/>
                <wp:wrapNone/>
                <wp:docPr id="44" name="Freeform: 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509270"/>
                        </a:xfrm>
                        <a:custGeom>
                          <a:avLst/>
                          <a:gdLst/>
                          <a:ahLst/>
                          <a:cxnLst/>
                          <a:rect l="l" t="t" r="r" b="b"/>
                          <a:pathLst>
                            <a:path w="542925" h="509270">
                              <a:moveTo>
                                <a:pt x="469493" y="480745"/>
                              </a:moveTo>
                              <a:lnTo>
                                <a:pt x="443026" y="420751"/>
                              </a:lnTo>
                              <a:lnTo>
                                <a:pt x="411670" y="394119"/>
                              </a:lnTo>
                              <a:lnTo>
                                <a:pt x="345376" y="367334"/>
                              </a:lnTo>
                              <a:lnTo>
                                <a:pt x="301078" y="358165"/>
                              </a:lnTo>
                              <a:lnTo>
                                <a:pt x="246227" y="353021"/>
                              </a:lnTo>
                              <a:lnTo>
                                <a:pt x="178435" y="352831"/>
                              </a:lnTo>
                              <a:lnTo>
                                <a:pt x="95364" y="358508"/>
                              </a:lnTo>
                              <a:lnTo>
                                <a:pt x="247738" y="379996"/>
                              </a:lnTo>
                              <a:lnTo>
                                <a:pt x="335800" y="402526"/>
                              </a:lnTo>
                              <a:lnTo>
                                <a:pt x="393103" y="439928"/>
                              </a:lnTo>
                              <a:lnTo>
                                <a:pt x="453174" y="506006"/>
                              </a:lnTo>
                              <a:lnTo>
                                <a:pt x="454482" y="507199"/>
                              </a:lnTo>
                              <a:lnTo>
                                <a:pt x="457822" y="508825"/>
                              </a:lnTo>
                              <a:lnTo>
                                <a:pt x="462343" y="507949"/>
                              </a:lnTo>
                              <a:lnTo>
                                <a:pt x="467156" y="501599"/>
                              </a:lnTo>
                              <a:lnTo>
                                <a:pt x="469493" y="480745"/>
                              </a:lnTo>
                              <a:close/>
                            </a:path>
                            <a:path w="542925" h="509270">
                              <a:moveTo>
                                <a:pt x="521449" y="422846"/>
                              </a:moveTo>
                              <a:lnTo>
                                <a:pt x="487654" y="346379"/>
                              </a:lnTo>
                              <a:lnTo>
                                <a:pt x="430403" y="305701"/>
                              </a:lnTo>
                              <a:lnTo>
                                <a:pt x="392887" y="290309"/>
                              </a:lnTo>
                              <a:lnTo>
                                <a:pt x="322529" y="272478"/>
                              </a:lnTo>
                              <a:lnTo>
                                <a:pt x="274904" y="265658"/>
                              </a:lnTo>
                              <a:lnTo>
                                <a:pt x="218884" y="261848"/>
                              </a:lnTo>
                              <a:lnTo>
                                <a:pt x="154432" y="262255"/>
                              </a:lnTo>
                              <a:lnTo>
                                <a:pt x="81495" y="268097"/>
                              </a:lnTo>
                              <a:lnTo>
                                <a:pt x="0" y="280555"/>
                              </a:lnTo>
                              <a:lnTo>
                                <a:pt x="241833" y="283540"/>
                              </a:lnTo>
                              <a:lnTo>
                                <a:pt x="374916" y="302133"/>
                              </a:lnTo>
                              <a:lnTo>
                                <a:pt x="446468" y="352209"/>
                              </a:lnTo>
                              <a:lnTo>
                                <a:pt x="503732" y="449592"/>
                              </a:lnTo>
                              <a:lnTo>
                                <a:pt x="505193" y="451142"/>
                              </a:lnTo>
                              <a:lnTo>
                                <a:pt x="508774" y="453580"/>
                              </a:lnTo>
                              <a:lnTo>
                                <a:pt x="513181" y="453669"/>
                              </a:lnTo>
                              <a:lnTo>
                                <a:pt x="517182" y="448132"/>
                              </a:lnTo>
                              <a:lnTo>
                                <a:pt x="521449" y="422846"/>
                              </a:lnTo>
                              <a:close/>
                            </a:path>
                            <a:path w="542925" h="509270">
                              <a:moveTo>
                                <a:pt x="542658" y="361467"/>
                              </a:moveTo>
                              <a:lnTo>
                                <a:pt x="539229" y="301866"/>
                              </a:lnTo>
                              <a:lnTo>
                                <a:pt x="527697" y="269087"/>
                              </a:lnTo>
                              <a:lnTo>
                                <a:pt x="498741" y="251523"/>
                              </a:lnTo>
                              <a:lnTo>
                                <a:pt x="443001" y="237540"/>
                              </a:lnTo>
                              <a:lnTo>
                                <a:pt x="453275" y="232930"/>
                              </a:lnTo>
                              <a:lnTo>
                                <a:pt x="476542" y="216649"/>
                              </a:lnTo>
                              <a:lnTo>
                                <a:pt x="501421" y="185026"/>
                              </a:lnTo>
                              <a:lnTo>
                                <a:pt x="516547" y="134416"/>
                              </a:lnTo>
                              <a:lnTo>
                                <a:pt x="508228" y="82753"/>
                              </a:lnTo>
                              <a:lnTo>
                                <a:pt x="483108" y="44183"/>
                              </a:lnTo>
                              <a:lnTo>
                                <a:pt x="447649" y="18046"/>
                              </a:lnTo>
                              <a:lnTo>
                                <a:pt x="408343" y="3632"/>
                              </a:lnTo>
                              <a:lnTo>
                                <a:pt x="359117" y="0"/>
                              </a:lnTo>
                              <a:lnTo>
                                <a:pt x="172377" y="241"/>
                              </a:lnTo>
                              <a:lnTo>
                                <a:pt x="172288" y="165176"/>
                              </a:lnTo>
                              <a:lnTo>
                                <a:pt x="172542" y="206806"/>
                              </a:lnTo>
                              <a:lnTo>
                                <a:pt x="199491" y="209765"/>
                              </a:lnTo>
                              <a:lnTo>
                                <a:pt x="218147" y="212483"/>
                              </a:lnTo>
                              <a:lnTo>
                                <a:pt x="237210" y="216535"/>
                              </a:lnTo>
                              <a:lnTo>
                                <a:pt x="265417" y="223469"/>
                              </a:lnTo>
                              <a:lnTo>
                                <a:pt x="265417" y="77266"/>
                              </a:lnTo>
                              <a:lnTo>
                                <a:pt x="338963" y="77343"/>
                              </a:lnTo>
                              <a:lnTo>
                                <a:pt x="371525" y="83299"/>
                              </a:lnTo>
                              <a:lnTo>
                                <a:pt x="403936" y="103695"/>
                              </a:lnTo>
                              <a:lnTo>
                                <a:pt x="418338" y="147142"/>
                              </a:lnTo>
                              <a:lnTo>
                                <a:pt x="415925" y="194195"/>
                              </a:lnTo>
                              <a:lnTo>
                                <a:pt x="402196" y="218440"/>
                              </a:lnTo>
                              <a:lnTo>
                                <a:pt x="365506" y="227584"/>
                              </a:lnTo>
                              <a:lnTo>
                                <a:pt x="294233" y="229336"/>
                              </a:lnTo>
                              <a:lnTo>
                                <a:pt x="321665" y="235572"/>
                              </a:lnTo>
                              <a:lnTo>
                                <a:pt x="388099" y="256959"/>
                              </a:lnTo>
                              <a:lnTo>
                                <a:pt x="469709" y="297573"/>
                              </a:lnTo>
                              <a:lnTo>
                                <a:pt x="542658" y="361467"/>
                              </a:lnTo>
                              <a:close/>
                            </a:path>
                          </a:pathLst>
                        </a:custGeom>
                        <a:solidFill>
                          <a:srgbClr val="D5B788"/>
                        </a:solidFill>
                      </wps:spPr>
                      <wps:bodyPr wrap="square" lIns="0" tIns="0" rIns="0" bIns="0" rtlCol="0"/>
                    </wps:wsp>
                  </a:graphicData>
                </a:graphic>
                <wp14:sizeRelH relativeFrom="margin">
                  <wp14:pctWidth>0</wp14:pctWidth>
                </wp14:sizeRelH>
                <wp14:sizeRelV relativeFrom="margin">
                  <wp14:pctHeight>0</wp14:pctHeight>
                </wp14:sizeRelV>
              </wp:anchor>
            </w:drawing>
          </mc:Choice>
          <mc:Fallback xmlns:arto="http://schemas.microsoft.com/office/word/2006/arto"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6AEF2DA5">
              <v:shape id="Freeform: Shape 44" style="position:absolute;margin-left:371.65pt;margin-top:699.75pt;width:42.75pt;height:40.1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542925,509270" o:spid="_x0000_s1026" fillcolor="#d5b788" stroked="f" path="m469493,480745l443026,420751,411670,394119,345376,367334r-44298,-9169l246227,353021r-67792,-190l95364,358508r152374,21488l335800,402526r57303,37402l453174,506006r1308,1193l457822,508825r4521,-876l467156,501599r2337,-20854xem521449,422846l487654,346379,430403,305701,392887,290309,322529,272478r-47625,-6820l218884,261848r-64452,407l81495,268097,,280555r241833,2985l374916,302133r71552,50076l503732,449592r1461,1550l508774,453580r4407,89l517182,448132r4267,-25286xem542658,361467r-3429,-59601l527697,269087,498741,251523,443001,237540r10274,-4610l476542,216649r24879,-31623l516547,134416,508228,82753,483108,44183,447649,18046,408343,3632,359117,,172377,241r-89,164935l172542,206806r26949,2959l218147,212483r19063,4052l265417,223469r,-146203l338963,77343r32562,5956l403936,103695r14402,43447l415925,194195r-13729,24245l365506,227584r-71273,1752l321665,235572r66434,21387l469709,297573r72949,63894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" w14:anchorId="64CDA8F2">
                <v:path arrowok="t"/>
              </v:shape>
            </w:pict>
          </mc:Fallback>
        </mc:AlternateContent>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8D7F4E" w:rsidRPr="00232EBB">
        <w:rPr>
          <w:lang w:val="es-DO"/>
        </w:rPr>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r w:rsidR="004F2DD5" w:rsidRPr="00232EBB">
        <w:tab/>
      </w:r>
    </w:p>
    <w:p w14:paraId="6F050B88" w14:textId="09707BC8" w:rsidR="004F2DD5" w:rsidRPr="00232EBB" w:rsidRDefault="004F2DD5" w:rsidP="004F2DD5">
      <w:bookmarkStart w:id="1" w:name="_Hlk216097995"/>
      <w:bookmarkEnd w:id="1"/>
    </w:p>
    <w:p w14:paraId="17B5E9DF" w14:textId="7890F551" w:rsidR="008D7F4E" w:rsidRPr="00232EBB" w:rsidRDefault="008D7F4E" w:rsidP="008D7F4E">
      <w:pPr>
        <w:rPr>
          <w:lang w:val="es-DO"/>
        </w:rPr>
      </w:pPr>
      <w:r w:rsidRPr="00232EBB">
        <w:rPr>
          <w:lang w:val="es-DO"/>
        </w:rPr>
        <w:lastRenderedPageBreak/>
        <w:tab/>
      </w:r>
      <w:r w:rsidRPr="00232EBB">
        <w:rPr>
          <w:lang w:val="es-DO"/>
        </w:rPr>
        <w:tab/>
      </w:r>
      <w:r w:rsidRPr="00232EBB">
        <w:rPr>
          <w:lang w:val="es-DO"/>
        </w:rPr>
        <w:tab/>
      </w:r>
      <w:r w:rsidRPr="00232EBB">
        <w:rPr>
          <w:lang w:val="es-DO"/>
        </w:rPr>
        <w:tab/>
      </w:r>
      <w:r w:rsidRPr="00232EBB">
        <w:rPr>
          <w:lang w:val="es-DO"/>
        </w:rPr>
        <w:tab/>
      </w:r>
      <w:r w:rsidRPr="00232EBB">
        <w:rPr>
          <w:lang w:val="es-DO"/>
        </w:rPr>
        <w:tab/>
      </w:r>
      <w:r w:rsidRPr="00232EBB">
        <w:rPr>
          <w:lang w:val="es-DO"/>
        </w:rPr>
        <w:tab/>
      </w:r>
      <w:r w:rsidRPr="00232EBB">
        <w:rPr>
          <w:lang w:val="es-DO"/>
        </w:rPr>
        <w:tab/>
      </w:r>
      <w:r w:rsidRPr="00232EBB">
        <w:rPr>
          <w:lang w:val="es-DO"/>
        </w:rPr>
        <w:tab/>
      </w:r>
      <w:r w:rsidRPr="00232EBB">
        <w:rPr>
          <w:lang w:val="es-DO"/>
        </w:rPr>
        <w:tab/>
      </w:r>
      <w:r w:rsidRPr="00232EBB">
        <w:rPr>
          <w:lang w:val="es-DO"/>
        </w:rPr>
        <w:tab/>
      </w:r>
      <w:r w:rsidRPr="00232EBB">
        <w:rPr>
          <w:lang w:val="es-DO"/>
        </w:rPr>
        <w:tab/>
      </w:r>
      <w:r w:rsidRPr="00232EBB">
        <w:rPr>
          <w:lang w:val="es-DO"/>
        </w:rPr>
        <w:tab/>
      </w:r>
      <w:r w:rsidRPr="00232EBB">
        <w:rPr>
          <w:lang w:val="es-DO"/>
        </w:rPr>
        <w:tab/>
      </w:r>
      <w:r w:rsidRPr="00232EBB">
        <w:rPr>
          <w:lang w:val="es-DO"/>
        </w:rPr>
        <w:tab/>
      </w:r>
      <w:r w:rsidRPr="00232EBB">
        <w:rPr>
          <w:lang w:val="es-DO"/>
        </w:rPr>
        <w:tab/>
      </w:r>
      <w:r w:rsidRPr="00232EBB">
        <w:rPr>
          <w:lang w:val="es-DO"/>
        </w:rPr>
        <w:tab/>
      </w:r>
      <w:r w:rsidRPr="00232EBB">
        <w:rPr>
          <w:lang w:val="es-DO"/>
        </w:rPr>
        <w:tab/>
      </w:r>
      <w:r w:rsidRPr="00232EBB">
        <w:rPr>
          <w:lang w:val="es-DO"/>
        </w:rPr>
        <w:tab/>
      </w:r>
      <w:r w:rsidRPr="00232EBB">
        <w:rPr>
          <w:lang w:val="es-DO"/>
        </w:rPr>
        <w:tab/>
      </w:r>
      <w:r w:rsidRPr="00232EBB">
        <w:rPr>
          <w:lang w:val="es-DO"/>
        </w:rPr>
        <w:tab/>
      </w:r>
      <w:r w:rsidRPr="00232EBB">
        <w:rPr>
          <w:lang w:val="es-DO"/>
        </w:rPr>
        <w:tab/>
      </w:r>
      <w:r w:rsidRPr="00232EBB">
        <w:rPr>
          <w:lang w:val="es-DO"/>
        </w:rPr>
        <w:tab/>
      </w:r>
      <w:r w:rsidRPr="00232EBB">
        <w:rPr>
          <w:lang w:val="es-DO"/>
        </w:rPr>
        <w:tab/>
      </w:r>
      <w:r w:rsidRPr="00232EBB">
        <w:rPr>
          <w:lang w:val="es-DO"/>
        </w:rPr>
        <w:tab/>
      </w:r>
      <w:r w:rsidRPr="00232EBB">
        <w:rPr>
          <w:lang w:val="es-DO"/>
        </w:rPr>
        <w:tab/>
      </w:r>
    </w:p>
    <w:p w14:paraId="38D9CF2E" w14:textId="118B01A5" w:rsidR="008D7F4E" w:rsidRPr="00232EBB" w:rsidRDefault="008D7F4E" w:rsidP="008D7F4E">
      <w:pPr>
        <w:rPr>
          <w:lang w:val="es-DO"/>
        </w:rPr>
      </w:pPr>
    </w:p>
    <w:p w14:paraId="16EDE6EA" w14:textId="51136D97" w:rsidR="008D7F4E" w:rsidRPr="00232EBB" w:rsidRDefault="008D7F4E" w:rsidP="008D7F4E">
      <w:pPr>
        <w:rPr>
          <w:b/>
          <w:bCs/>
          <w:lang w:val="es-DO"/>
        </w:rPr>
      </w:pPr>
    </w:p>
    <w:p w14:paraId="3FC05242" w14:textId="77777777" w:rsidR="008D7F4E" w:rsidRPr="00232EBB" w:rsidRDefault="008D7F4E" w:rsidP="008D7F4E">
      <w:pPr>
        <w:rPr>
          <w:lang w:val="es-DO"/>
        </w:rPr>
      </w:pPr>
    </w:p>
    <w:p w14:paraId="52109915" w14:textId="77777777" w:rsidR="008D7F4E" w:rsidRPr="00232EBB" w:rsidRDefault="008D7F4E" w:rsidP="008D7F4E">
      <w:pPr>
        <w:rPr>
          <w:lang w:val="es-DO"/>
        </w:rPr>
      </w:pPr>
    </w:p>
    <w:p w14:paraId="26FC2ECF" w14:textId="1304E68D" w:rsidR="008D7F4E" w:rsidRPr="00232EBB" w:rsidRDefault="008D7F4E" w:rsidP="008D7F4E">
      <w:pPr>
        <w:rPr>
          <w:lang w:val="es-DO"/>
        </w:rPr>
      </w:pPr>
    </w:p>
    <w:p w14:paraId="339C9304" w14:textId="532ECEA5" w:rsidR="008D7F4E" w:rsidRPr="00232EBB" w:rsidRDefault="008D7F4E" w:rsidP="008D7F4E">
      <w:pPr>
        <w:rPr>
          <w:lang w:val="es-DO"/>
        </w:rPr>
      </w:pPr>
    </w:p>
    <w:p w14:paraId="45BA7FA9" w14:textId="77777777" w:rsidR="0087772C" w:rsidRPr="00232EBB" w:rsidRDefault="0087772C" w:rsidP="008D7F4E">
      <w:pPr>
        <w:rPr>
          <w:lang w:val="es-DO"/>
        </w:rPr>
      </w:pPr>
    </w:p>
    <w:p w14:paraId="18C0D5CD" w14:textId="3C9E19AE" w:rsidR="008D7F4E" w:rsidRPr="00232EBB" w:rsidRDefault="004945BF" w:rsidP="008D7F4E">
      <w:pPr>
        <w:rPr>
          <w:lang w:val="es-DO"/>
        </w:rPr>
      </w:pPr>
      <w:r w:rsidRPr="00232EBB">
        <w:rPr>
          <w:noProof/>
        </w:rPr>
        <mc:AlternateContent>
          <mc:Choice Requires="wps">
            <w:drawing>
              <wp:anchor distT="0" distB="0" distL="114300" distR="114300" simplePos="0" relativeHeight="251658241" behindDoc="0" locked="0" layoutInCell="1" allowOverlap="1" wp14:anchorId="611EEDAC" wp14:editId="356B604B">
                <wp:simplePos x="0" y="0"/>
                <wp:positionH relativeFrom="margin">
                  <wp:align>center</wp:align>
                </wp:positionH>
                <wp:positionV relativeFrom="paragraph">
                  <wp:posOffset>217170</wp:posOffset>
                </wp:positionV>
                <wp:extent cx="5758815" cy="985651"/>
                <wp:effectExtent l="0" t="0" r="0" b="0"/>
                <wp:wrapNone/>
                <wp:docPr id="7" name="object 4"/>
                <wp:cNvGraphicFramePr/>
                <a:graphic xmlns:a="http://schemas.openxmlformats.org/drawingml/2006/main">
                  <a:graphicData uri="http://schemas.microsoft.com/office/word/2010/wordprocessingShape">
                    <wps:wsp>
                      <wps:cNvSpPr txBox="1"/>
                      <wps:spPr>
                        <a:xfrm>
                          <a:off x="0" y="0"/>
                          <a:ext cx="5758815" cy="985651"/>
                        </a:xfrm>
                        <a:prstGeom prst="rect">
                          <a:avLst/>
                        </a:prstGeom>
                      </wps:spPr>
                      <wps:txbx>
                        <w:txbxContent>
                          <w:p w14:paraId="0D47117C" w14:textId="77777777" w:rsidR="00654164" w:rsidRDefault="00654164" w:rsidP="00654164">
                            <w:pPr>
                              <w:spacing w:after="0"/>
                              <w:jc w:val="center"/>
                              <w:rPr>
                                <w:b/>
                                <w:bCs/>
                                <w:color w:val="D5B788"/>
                                <w:spacing w:val="60"/>
                                <w:kern w:val="24"/>
                                <w:sz w:val="56"/>
                                <w:szCs w:val="56"/>
                                <w:lang w:val="es-DO"/>
                              </w:rPr>
                            </w:pPr>
                            <w:r>
                              <w:rPr>
                                <w:b/>
                                <w:bCs/>
                                <w:color w:val="D5B788"/>
                                <w:spacing w:val="60"/>
                                <w:kern w:val="24"/>
                                <w:sz w:val="56"/>
                                <w:szCs w:val="56"/>
                                <w:lang w:val="es-DO"/>
                              </w:rPr>
                              <w:t xml:space="preserve">MEMORIA </w:t>
                            </w:r>
                          </w:p>
                          <w:p w14:paraId="7A767047" w14:textId="77777777" w:rsidR="00654164" w:rsidRDefault="00654164" w:rsidP="00654164">
                            <w:pPr>
                              <w:spacing w:after="0"/>
                              <w:jc w:val="center"/>
                              <w:rPr>
                                <w:b/>
                                <w:bCs/>
                                <w:color w:val="D5B788"/>
                                <w:spacing w:val="60"/>
                                <w:kern w:val="24"/>
                                <w:sz w:val="56"/>
                                <w:szCs w:val="56"/>
                                <w:lang w:val="es-DO"/>
                              </w:rPr>
                            </w:pPr>
                            <w:r>
                              <w:rPr>
                                <w:b/>
                                <w:bCs/>
                                <w:color w:val="D5B788"/>
                                <w:spacing w:val="60"/>
                                <w:kern w:val="24"/>
                                <w:sz w:val="56"/>
                                <w:szCs w:val="56"/>
                                <w:lang w:val="es-DO"/>
                              </w:rPr>
                              <w:t>INSTITUCIONAL</w:t>
                            </w:r>
                          </w:p>
                          <w:p w14:paraId="2CBE4766" w14:textId="77777777" w:rsidR="00654164" w:rsidRPr="008D7F4E" w:rsidRDefault="00654164" w:rsidP="00654164">
                            <w:pPr>
                              <w:spacing w:after="0"/>
                              <w:jc w:val="center"/>
                              <w:rPr>
                                <w:b/>
                                <w:bCs/>
                                <w:color w:val="D5B788"/>
                                <w:spacing w:val="60"/>
                                <w:kern w:val="24"/>
                                <w:sz w:val="56"/>
                                <w:szCs w:val="56"/>
                                <w:lang w:val="es-DO"/>
                              </w:rPr>
                            </w:pPr>
                          </w:p>
                        </w:txbxContent>
                      </wps:txbx>
                      <wps:bodyPr vert="horz" wrap="square" lIns="0" tIns="17145" rIns="0" bIns="0" rtlCol="0">
                        <a:noAutofit/>
                      </wps:bodyPr>
                    </wps:wsp>
                  </a:graphicData>
                </a:graphic>
                <wp14:sizeRelH relativeFrom="margin">
                  <wp14:pctWidth>0</wp14:pctWidth>
                </wp14:sizeRelH>
                <wp14:sizeRelV relativeFrom="margin">
                  <wp14:pctHeight>0</wp14:pctHeight>
                </wp14:sizeRelV>
              </wp:anchor>
            </w:drawing>
          </mc:Choice>
          <mc:Fallback>
            <w:pict>
              <v:shape w14:anchorId="611EEDAC" id="_x0000_s1034" type="#_x0000_t202" style="position:absolute;margin-left:0;margin-top:17.1pt;width:453.45pt;height:77.6pt;z-index:251658241;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" filled="f" stroked="f">
                <v:textbox inset="0,1.35pt,0,0">
                  <w:txbxContent>
                    <w:p w14:paraId="0D47117C" w14:textId="77777777" w:rsidR="00654164" w:rsidRDefault="00654164" w:rsidP="00654164">
                      <w:pPr>
                        <w:spacing w:after="0"/>
                        <w:jc w:val="center"/>
                        <w:rPr>
                          <w:b/>
                          <w:bCs/>
                          <w:color w:val="D5B788"/>
                          <w:spacing w:val="60"/>
                          <w:kern w:val="24"/>
                          <w:sz w:val="56"/>
                          <w:szCs w:val="56"/>
                          <w:lang w:val="es-DO"/>
                        </w:rPr>
                      </w:pPr>
                      <w:r>
                        <w:rPr>
                          <w:b/>
                          <w:bCs/>
                          <w:color w:val="D5B788"/>
                          <w:spacing w:val="60"/>
                          <w:kern w:val="24"/>
                          <w:sz w:val="56"/>
                          <w:szCs w:val="56"/>
                          <w:lang w:val="es-DO"/>
                        </w:rPr>
                        <w:t xml:space="preserve">MEMORIA </w:t>
                      </w:r>
                    </w:p>
                    <w:p w14:paraId="7A767047" w14:textId="77777777" w:rsidR="00654164" w:rsidRDefault="00654164" w:rsidP="00654164">
                      <w:pPr>
                        <w:spacing w:after="0"/>
                        <w:jc w:val="center"/>
                        <w:rPr>
                          <w:b/>
                          <w:bCs/>
                          <w:color w:val="D5B788"/>
                          <w:spacing w:val="60"/>
                          <w:kern w:val="24"/>
                          <w:sz w:val="56"/>
                          <w:szCs w:val="56"/>
                          <w:lang w:val="es-DO"/>
                        </w:rPr>
                      </w:pPr>
                      <w:r>
                        <w:rPr>
                          <w:b/>
                          <w:bCs/>
                          <w:color w:val="D5B788"/>
                          <w:spacing w:val="60"/>
                          <w:kern w:val="24"/>
                          <w:sz w:val="56"/>
                          <w:szCs w:val="56"/>
                          <w:lang w:val="es-DO"/>
                        </w:rPr>
                        <w:t>INSTITUCIONAL</w:t>
                      </w:r>
                    </w:p>
                    <w:p w14:paraId="2CBE4766" w14:textId="77777777" w:rsidR="00654164" w:rsidRPr="008D7F4E" w:rsidRDefault="00654164" w:rsidP="00654164">
                      <w:pPr>
                        <w:spacing w:after="0"/>
                        <w:jc w:val="center"/>
                        <w:rPr>
                          <w:b/>
                          <w:bCs/>
                          <w:color w:val="D5B788"/>
                          <w:spacing w:val="60"/>
                          <w:kern w:val="24"/>
                          <w:sz w:val="56"/>
                          <w:szCs w:val="56"/>
                          <w:lang w:val="es-DO"/>
                        </w:rPr>
                      </w:pPr>
                    </w:p>
                  </w:txbxContent>
                </v:textbox>
                <w10:wrap anchorx="margin"/>
              </v:shape>
            </w:pict>
          </mc:Fallback>
        </mc:AlternateContent>
      </w:r>
    </w:p>
    <w:p w14:paraId="38D6C8AE" w14:textId="0C3AB746" w:rsidR="008D7F4E" w:rsidRPr="00232EBB" w:rsidRDefault="008D7F4E" w:rsidP="008D7F4E">
      <w:pPr>
        <w:rPr>
          <w:lang w:val="es-DO"/>
        </w:rPr>
      </w:pPr>
    </w:p>
    <w:p w14:paraId="22DD7F53" w14:textId="38F1DA9C" w:rsidR="008D7F4E" w:rsidRPr="00232EBB" w:rsidRDefault="008D7F4E" w:rsidP="008D7F4E">
      <w:pPr>
        <w:rPr>
          <w:lang w:val="es-DO"/>
        </w:rPr>
      </w:pPr>
    </w:p>
    <w:p w14:paraId="266A4AE7" w14:textId="5D666784" w:rsidR="008D7F4E" w:rsidRPr="00232EBB" w:rsidRDefault="008D7F4E" w:rsidP="008D7F4E">
      <w:pPr>
        <w:rPr>
          <w:lang w:val="es-DO"/>
        </w:rPr>
      </w:pPr>
    </w:p>
    <w:p w14:paraId="56C838CA" w14:textId="2DDF9386" w:rsidR="008D7F4E" w:rsidRPr="00232EBB" w:rsidRDefault="00157831" w:rsidP="008D7F4E">
      <w:pPr>
        <w:rPr>
          <w:lang w:val="es-DO"/>
        </w:rPr>
      </w:pPr>
      <w:r w:rsidRPr="00232EBB">
        <w:rPr>
          <w:noProof/>
        </w:rPr>
        <mc:AlternateContent>
          <mc:Choice Requires="wps">
            <w:drawing>
              <wp:anchor distT="4294967295" distB="4294967295" distL="114300" distR="114300" simplePos="0" relativeHeight="251658252" behindDoc="0" locked="0" layoutInCell="1" allowOverlap="1" wp14:anchorId="4E0C23B7" wp14:editId="752B4C00">
                <wp:simplePos x="0" y="0"/>
                <wp:positionH relativeFrom="margin">
                  <wp:align>center</wp:align>
                </wp:positionH>
                <wp:positionV relativeFrom="paragraph">
                  <wp:posOffset>130175</wp:posOffset>
                </wp:positionV>
                <wp:extent cx="463550" cy="0"/>
                <wp:effectExtent l="0" t="19050" r="31750" b="19050"/>
                <wp:wrapNone/>
                <wp:docPr id="22" name="Straight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63550" cy="0"/>
                        </a:xfrm>
                        <a:prstGeom prst="line">
                          <a:avLst/>
                        </a:prstGeom>
                        <a:noFill/>
                        <a:ln w="28575" cap="flat" cmpd="sng" algn="ctr">
                          <a:solidFill>
                            <a:srgbClr val="C8B688"/>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7E821E65" id="Straight Connector 22" o:spid="_x0000_s1026" style="position:absolute;z-index:251658252;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page;mso-height-relative:page" from="0,10.25pt" to="36.5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" strokecolor="#c8b688" strokeweight="2.25pt">
                <v:stroke joinstyle="miter"/>
                <o:lock v:ext="edit" shapetype="f"/>
                <w10:wrap anchorx="margin"/>
              </v:line>
            </w:pict>
          </mc:Fallback>
        </mc:AlternateContent>
      </w:r>
    </w:p>
    <w:p w14:paraId="5A37720D" w14:textId="64D3D6AD" w:rsidR="008D7F4E" w:rsidRPr="00232EBB" w:rsidRDefault="008D7F4E" w:rsidP="008D7F4E">
      <w:pPr>
        <w:rPr>
          <w:lang w:val="es-DO"/>
        </w:rPr>
      </w:pPr>
    </w:p>
    <w:p w14:paraId="1C1F404E" w14:textId="1F8753AE" w:rsidR="008D7F4E" w:rsidRPr="00232EBB" w:rsidRDefault="00157831" w:rsidP="008D7F4E">
      <w:pPr>
        <w:rPr>
          <w:lang w:val="es-DO"/>
        </w:rPr>
      </w:pPr>
      <w:r w:rsidRPr="00232EBB">
        <w:rPr>
          <w:noProof/>
        </w:rPr>
        <mc:AlternateContent>
          <mc:Choice Requires="wps">
            <w:drawing>
              <wp:anchor distT="0" distB="0" distL="114300" distR="114300" simplePos="0" relativeHeight="251658248" behindDoc="0" locked="0" layoutInCell="1" allowOverlap="1" wp14:anchorId="65361376" wp14:editId="25A1F871">
                <wp:simplePos x="0" y="0"/>
                <wp:positionH relativeFrom="margin">
                  <wp:align>center</wp:align>
                </wp:positionH>
                <wp:positionV relativeFrom="paragraph">
                  <wp:posOffset>5715</wp:posOffset>
                </wp:positionV>
                <wp:extent cx="1214755" cy="308610"/>
                <wp:effectExtent l="0" t="0" r="0" b="0"/>
                <wp:wrapNone/>
                <wp:docPr id="16" name="object 5"/>
                <wp:cNvGraphicFramePr/>
                <a:graphic xmlns:a="http://schemas.openxmlformats.org/drawingml/2006/main">
                  <a:graphicData uri="http://schemas.microsoft.com/office/word/2010/wordprocessingShape">
                    <wps:wsp>
                      <wps:cNvSpPr txBox="1"/>
                      <wps:spPr>
                        <a:xfrm>
                          <a:off x="0" y="0"/>
                          <a:ext cx="1214755" cy="308610"/>
                        </a:xfrm>
                        <a:prstGeom prst="rect">
                          <a:avLst/>
                        </a:prstGeom>
                      </wps:spPr>
                      <wps:txbx>
                        <w:txbxContent>
                          <w:p w14:paraId="6B362718" w14:textId="459771DB" w:rsidR="008D7F4E" w:rsidRPr="005805BA" w:rsidRDefault="008D7F4E" w:rsidP="008D7F4E">
                            <w:pPr>
                              <w:spacing w:before="20"/>
                              <w:ind w:left="14"/>
                              <w:rPr>
                                <w:b/>
                                <w:bCs/>
                                <w:color w:val="D5B788"/>
                                <w:spacing w:val="74"/>
                                <w:kern w:val="24"/>
                                <w:sz w:val="28"/>
                                <w:szCs w:val="28"/>
                              </w:rPr>
                            </w:pPr>
                            <w:r w:rsidRPr="005805BA">
                              <w:rPr>
                                <w:b/>
                                <w:bCs/>
                                <w:color w:val="D5B788"/>
                                <w:spacing w:val="74"/>
                                <w:kern w:val="24"/>
                                <w:sz w:val="28"/>
                                <w:szCs w:val="28"/>
                              </w:rPr>
                              <w:t>AÑ</w:t>
                            </w:r>
                            <w:r w:rsidRPr="005805BA">
                              <w:rPr>
                                <w:b/>
                                <w:bCs/>
                                <w:color w:val="D5B788"/>
                                <w:spacing w:val="37"/>
                                <w:kern w:val="24"/>
                                <w:sz w:val="28"/>
                                <w:szCs w:val="28"/>
                              </w:rPr>
                              <w:t>O</w:t>
                            </w:r>
                            <w:r w:rsidRPr="005805BA">
                              <w:rPr>
                                <w:b/>
                                <w:bCs/>
                                <w:color w:val="D5B788"/>
                                <w:spacing w:val="74"/>
                                <w:kern w:val="24"/>
                                <w:sz w:val="28"/>
                                <w:szCs w:val="28"/>
                              </w:rPr>
                              <w:t xml:space="preserve"> </w:t>
                            </w:r>
                            <w:r w:rsidRPr="005805BA">
                              <w:rPr>
                                <w:b/>
                                <w:bCs/>
                                <w:color w:val="D5B788"/>
                                <w:spacing w:val="68"/>
                                <w:kern w:val="24"/>
                                <w:sz w:val="28"/>
                                <w:szCs w:val="28"/>
                              </w:rPr>
                              <w:t>2</w:t>
                            </w:r>
                            <w:r w:rsidRPr="005805BA">
                              <w:rPr>
                                <w:b/>
                                <w:bCs/>
                                <w:color w:val="D5B788"/>
                                <w:spacing w:val="28"/>
                                <w:kern w:val="24"/>
                                <w:sz w:val="28"/>
                                <w:szCs w:val="28"/>
                              </w:rPr>
                              <w:t>0</w:t>
                            </w:r>
                            <w:r w:rsidRPr="005805BA">
                              <w:rPr>
                                <w:b/>
                                <w:bCs/>
                                <w:color w:val="D5B788"/>
                                <w:spacing w:val="-23"/>
                                <w:kern w:val="24"/>
                                <w:sz w:val="28"/>
                                <w:szCs w:val="28"/>
                              </w:rPr>
                              <w:t xml:space="preserve"> </w:t>
                            </w:r>
                            <w:r w:rsidRPr="005805BA">
                              <w:rPr>
                                <w:b/>
                                <w:bCs/>
                                <w:color w:val="D5B788"/>
                                <w:spacing w:val="68"/>
                                <w:kern w:val="24"/>
                                <w:sz w:val="28"/>
                                <w:szCs w:val="28"/>
                              </w:rPr>
                              <w:t>2</w:t>
                            </w:r>
                            <w:r w:rsidR="00B278C4">
                              <w:rPr>
                                <w:b/>
                                <w:bCs/>
                                <w:color w:val="D5B788"/>
                                <w:spacing w:val="68"/>
                                <w:kern w:val="24"/>
                                <w:sz w:val="28"/>
                                <w:szCs w:val="28"/>
                              </w:rPr>
                              <w:t>5</w:t>
                            </w:r>
                            <w:r w:rsidRPr="005805BA">
                              <w:rPr>
                                <w:b/>
                                <w:bCs/>
                                <w:color w:val="D5B788"/>
                                <w:spacing w:val="-21"/>
                                <w:kern w:val="24"/>
                                <w:sz w:val="28"/>
                                <w:szCs w:val="28"/>
                              </w:rPr>
                              <w:t xml:space="preserve"> </w:t>
                            </w:r>
                          </w:p>
                        </w:txbxContent>
                      </wps:txbx>
                      <wps:bodyPr vert="horz" wrap="square" lIns="0" tIns="12700" rIns="0" bIns="0" rtlCol="0">
                        <a:noAutofit/>
                      </wps:bodyPr>
                    </wps:wsp>
                  </a:graphicData>
                </a:graphic>
                <wp14:sizeRelH relativeFrom="margin">
                  <wp14:pctWidth>0</wp14:pctWidth>
                </wp14:sizeRelH>
                <wp14:sizeRelV relativeFrom="margin">
                  <wp14:pctHeight>0</wp14:pctHeight>
                </wp14:sizeRelV>
              </wp:anchor>
            </w:drawing>
          </mc:Choice>
          <mc:Fallback>
            <w:pict>
              <v:shape w14:anchorId="65361376" id="_x0000_s1035" type="#_x0000_t202" style="position:absolute;margin-left:0;margin-top:.45pt;width:95.65pt;height:24.3pt;z-index:2516582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" filled="f" stroked="f">
                <v:textbox inset="0,1pt,0,0">
                  <w:txbxContent>
                    <w:p w14:paraId="6B362718" w14:textId="459771DB" w:rsidR="008D7F4E" w:rsidRPr="005805BA" w:rsidRDefault="008D7F4E" w:rsidP="008D7F4E">
                      <w:pPr>
                        <w:spacing w:before="20"/>
                        <w:ind w:left="14"/>
                        <w:rPr>
                          <w:b/>
                          <w:bCs/>
                          <w:color w:val="D5B788"/>
                          <w:spacing w:val="74"/>
                          <w:kern w:val="24"/>
                          <w:sz w:val="28"/>
                          <w:szCs w:val="28"/>
                        </w:rPr>
                      </w:pPr>
                      <w:r w:rsidRPr="005805BA">
                        <w:rPr>
                          <w:b/>
                          <w:bCs/>
                          <w:color w:val="D5B788"/>
                          <w:spacing w:val="74"/>
                          <w:kern w:val="24"/>
                          <w:sz w:val="28"/>
                          <w:szCs w:val="28"/>
                        </w:rPr>
                        <w:t>AÑ</w:t>
                      </w:r>
                      <w:r w:rsidRPr="005805BA">
                        <w:rPr>
                          <w:b/>
                          <w:bCs/>
                          <w:color w:val="D5B788"/>
                          <w:spacing w:val="37"/>
                          <w:kern w:val="24"/>
                          <w:sz w:val="28"/>
                          <w:szCs w:val="28"/>
                        </w:rPr>
                        <w:t>O</w:t>
                      </w:r>
                      <w:r w:rsidRPr="005805BA">
                        <w:rPr>
                          <w:b/>
                          <w:bCs/>
                          <w:color w:val="D5B788"/>
                          <w:spacing w:val="74"/>
                          <w:kern w:val="24"/>
                          <w:sz w:val="28"/>
                          <w:szCs w:val="28"/>
                        </w:rPr>
                        <w:t xml:space="preserve"> </w:t>
                      </w:r>
                      <w:r w:rsidRPr="005805BA">
                        <w:rPr>
                          <w:b/>
                          <w:bCs/>
                          <w:color w:val="D5B788"/>
                          <w:spacing w:val="68"/>
                          <w:kern w:val="24"/>
                          <w:sz w:val="28"/>
                          <w:szCs w:val="28"/>
                        </w:rPr>
                        <w:t>2</w:t>
                      </w:r>
                      <w:r w:rsidRPr="005805BA">
                        <w:rPr>
                          <w:b/>
                          <w:bCs/>
                          <w:color w:val="D5B788"/>
                          <w:spacing w:val="28"/>
                          <w:kern w:val="24"/>
                          <w:sz w:val="28"/>
                          <w:szCs w:val="28"/>
                        </w:rPr>
                        <w:t>0</w:t>
                      </w:r>
                      <w:r w:rsidRPr="005805BA">
                        <w:rPr>
                          <w:b/>
                          <w:bCs/>
                          <w:color w:val="D5B788"/>
                          <w:spacing w:val="-23"/>
                          <w:kern w:val="24"/>
                          <w:sz w:val="28"/>
                          <w:szCs w:val="28"/>
                        </w:rPr>
                        <w:t xml:space="preserve"> </w:t>
                      </w:r>
                      <w:r w:rsidRPr="005805BA">
                        <w:rPr>
                          <w:b/>
                          <w:bCs/>
                          <w:color w:val="D5B788"/>
                          <w:spacing w:val="68"/>
                          <w:kern w:val="24"/>
                          <w:sz w:val="28"/>
                          <w:szCs w:val="28"/>
                        </w:rPr>
                        <w:t>2</w:t>
                      </w:r>
                      <w:r w:rsidR="00B278C4">
                        <w:rPr>
                          <w:b/>
                          <w:bCs/>
                          <w:color w:val="D5B788"/>
                          <w:spacing w:val="68"/>
                          <w:kern w:val="24"/>
                          <w:sz w:val="28"/>
                          <w:szCs w:val="28"/>
                        </w:rPr>
                        <w:t>5</w:t>
                      </w:r>
                      <w:r w:rsidRPr="005805BA">
                        <w:rPr>
                          <w:b/>
                          <w:bCs/>
                          <w:color w:val="D5B788"/>
                          <w:spacing w:val="-21"/>
                          <w:kern w:val="24"/>
                          <w:sz w:val="28"/>
                          <w:szCs w:val="28"/>
                        </w:rPr>
                        <w:t xml:space="preserve"> </w:t>
                      </w:r>
                    </w:p>
                  </w:txbxContent>
                </v:textbox>
                <w10:wrap anchorx="margin"/>
              </v:shape>
            </w:pict>
          </mc:Fallback>
        </mc:AlternateContent>
      </w:r>
    </w:p>
    <w:p w14:paraId="75F2B32B" w14:textId="14B2843A" w:rsidR="008D7F4E" w:rsidRPr="00232EBB" w:rsidRDefault="008D7F4E" w:rsidP="008D7F4E">
      <w:pPr>
        <w:rPr>
          <w:b/>
          <w:bCs/>
          <w:lang w:val="es-DO"/>
        </w:rPr>
      </w:pPr>
    </w:p>
    <w:p w14:paraId="7AD079B8" w14:textId="0858FED9" w:rsidR="008D7F4E" w:rsidRPr="00232EBB" w:rsidRDefault="008D7F4E" w:rsidP="008D7F4E">
      <w:pPr>
        <w:rPr>
          <w:lang w:val="es-DO"/>
        </w:rPr>
      </w:pPr>
    </w:p>
    <w:p w14:paraId="2ADA86D9" w14:textId="3F0A12A5" w:rsidR="008D7F4E" w:rsidRPr="00232EBB" w:rsidRDefault="008D7F4E" w:rsidP="008D7F4E">
      <w:pPr>
        <w:rPr>
          <w:b/>
          <w:bCs/>
          <w:lang w:val="es-DO"/>
        </w:rPr>
      </w:pPr>
    </w:p>
    <w:p w14:paraId="163CEF29" w14:textId="62191160" w:rsidR="00E739F8" w:rsidRPr="00232EBB" w:rsidRDefault="00E739F8" w:rsidP="008D7F4E">
      <w:pPr>
        <w:rPr>
          <w:b/>
          <w:bCs/>
          <w:lang w:val="es-DO"/>
        </w:rPr>
      </w:pPr>
    </w:p>
    <w:p w14:paraId="3A86A8D9" w14:textId="4768359D" w:rsidR="00E739F8" w:rsidRPr="00232EBB" w:rsidRDefault="00E739F8" w:rsidP="008D7F4E">
      <w:pPr>
        <w:rPr>
          <w:b/>
          <w:bCs/>
          <w:lang w:val="es-DO"/>
        </w:rPr>
      </w:pPr>
    </w:p>
    <w:p w14:paraId="1C74082E" w14:textId="28C0782E" w:rsidR="008D7F4E" w:rsidRPr="00232EBB" w:rsidRDefault="008D7F4E" w:rsidP="008D7F4E">
      <w:pPr>
        <w:tabs>
          <w:tab w:val="left" w:pos="5229"/>
        </w:tabs>
        <w:rPr>
          <w:lang w:val="es-DO"/>
        </w:rPr>
      </w:pPr>
      <w:r w:rsidRPr="00232EBB">
        <w:rPr>
          <w:lang w:val="es-DO"/>
        </w:rPr>
        <w:tab/>
      </w:r>
      <w:r w:rsidRPr="00232EBB">
        <w:rPr>
          <w:lang w:val="es-DO"/>
        </w:rPr>
        <w:tab/>
      </w:r>
      <w:r w:rsidRPr="00232EBB">
        <w:rPr>
          <w:lang w:val="es-DO"/>
        </w:rPr>
        <w:tab/>
      </w:r>
    </w:p>
    <w:p w14:paraId="4D465291" w14:textId="77777777" w:rsidR="00ED09EE" w:rsidRPr="00232EBB" w:rsidRDefault="00ED09EE" w:rsidP="03B8D929">
      <w:pPr>
        <w:tabs>
          <w:tab w:val="left" w:pos="5229"/>
        </w:tabs>
        <w:rPr>
          <w:lang w:val="es-DO"/>
        </w:rPr>
      </w:pPr>
    </w:p>
    <w:p w14:paraId="17523CE0" w14:textId="631F5043" w:rsidR="261A79E1" w:rsidRPr="00232EBB" w:rsidRDefault="00ED09EE" w:rsidP="03B8D929">
      <w:pPr>
        <w:tabs>
          <w:tab w:val="left" w:pos="5229"/>
        </w:tabs>
        <w:rPr>
          <w:lang w:val="es-ES"/>
        </w:rPr>
      </w:pPr>
      <w:r w:rsidRPr="00232EBB">
        <w:rPr>
          <w:noProof/>
          <w:lang w:val="es-ES"/>
        </w:rPr>
        <w:t xml:space="preserve">                      </w:t>
      </w:r>
    </w:p>
    <w:p w14:paraId="786F7F10" w14:textId="4A55EE84" w:rsidR="004465B7" w:rsidRPr="00232EBB" w:rsidRDefault="00CD2766" w:rsidP="03B8D929">
      <w:pPr>
        <w:tabs>
          <w:tab w:val="left" w:pos="5229"/>
        </w:tabs>
        <w:rPr>
          <w:lang w:val="es-ES"/>
        </w:rPr>
      </w:pPr>
      <w:r w:rsidRPr="00232EBB">
        <w:rPr>
          <w:noProof/>
        </w:rPr>
        <mc:AlternateContent>
          <mc:Choice Requires="wpg">
            <w:drawing>
              <wp:anchor distT="0" distB="0" distL="114300" distR="114300" simplePos="0" relativeHeight="251668516" behindDoc="0" locked="0" layoutInCell="1" allowOverlap="1" wp14:anchorId="6B80F4FD" wp14:editId="0387C1BB">
                <wp:simplePos x="0" y="0"/>
                <wp:positionH relativeFrom="column">
                  <wp:posOffset>-542925</wp:posOffset>
                </wp:positionH>
                <wp:positionV relativeFrom="paragraph">
                  <wp:posOffset>297180</wp:posOffset>
                </wp:positionV>
                <wp:extent cx="2695575" cy="996315"/>
                <wp:effectExtent l="0" t="0" r="0" b="0"/>
                <wp:wrapNone/>
                <wp:docPr id="37" name="Group 37"/>
                <wp:cNvGraphicFramePr/>
                <a:graphic xmlns:a="http://schemas.openxmlformats.org/drawingml/2006/main">
                  <a:graphicData uri="http://schemas.microsoft.com/office/word/2010/wordprocessingGroup">
                    <wpg:wgp>
                      <wpg:cNvGrpSpPr/>
                      <wpg:grpSpPr>
                        <a:xfrm>
                          <a:off x="0" y="0"/>
                          <a:ext cx="2695575" cy="996315"/>
                          <a:chOff x="0" y="0"/>
                          <a:chExt cx="2527539" cy="1005840"/>
                        </a:xfrm>
                      </wpg:grpSpPr>
                      <wps:wsp>
                        <wps:cNvPr id="38" name="Text Box 38"/>
                        <wps:cNvSpPr txBox="1">
                          <a:spLocks/>
                        </wps:cNvSpPr>
                        <wps:spPr>
                          <a:xfrm>
                            <a:off x="0" y="600075"/>
                            <a:ext cx="2527539" cy="371475"/>
                          </a:xfrm>
                          <a:prstGeom prst="rect">
                            <a:avLst/>
                          </a:prstGeom>
                        </wps:spPr>
                        <wps:txbx>
                          <w:txbxContent>
                            <w:p w14:paraId="7767B958" w14:textId="77777777" w:rsidR="00CD2766" w:rsidRPr="003A00CC" w:rsidRDefault="00CD2766" w:rsidP="00CD2766">
                              <w:pPr>
                                <w:pStyle w:val="NoSpacing"/>
                                <w:rPr>
                                  <w:rFonts w:ascii="Arial MT" w:hAnsi="Arial MT" w:cs="Arial MT"/>
                                  <w:color w:val="D5B788"/>
                                  <w:spacing w:val="23"/>
                                  <w:kern w:val="24"/>
                                  <w:sz w:val="15"/>
                                  <w:szCs w:val="15"/>
                                </w:rPr>
                              </w:pPr>
                              <w:r w:rsidRPr="003A00CC">
                                <w:rPr>
                                  <w:rFonts w:ascii="Arial MT" w:hAnsi="Arial MT" w:cs="Arial MT"/>
                                  <w:color w:val="D5B788"/>
                                  <w:spacing w:val="23"/>
                                  <w:kern w:val="24"/>
                                  <w:sz w:val="15"/>
                                  <w:szCs w:val="15"/>
                                </w:rPr>
                                <w:t>GOBIERNO DE LA</w:t>
                              </w:r>
                            </w:p>
                            <w:p w14:paraId="613E52F6" w14:textId="77777777" w:rsidR="00CD2766" w:rsidRDefault="00CD2766" w:rsidP="00CD2766">
                              <w:pPr>
                                <w:spacing w:before="13"/>
                                <w:ind w:left="14"/>
                                <w:rPr>
                                  <w:rFonts w:ascii="Georgia" w:hAnsi="Georgia" w:cs="Georgia"/>
                                  <w:b/>
                                  <w:bCs/>
                                  <w:color w:val="D5B788"/>
                                  <w:spacing w:val="18"/>
                                  <w:kern w:val="24"/>
                                </w:rPr>
                              </w:pPr>
                              <w:r>
                                <w:rPr>
                                  <w:rFonts w:ascii="Georgia" w:hAnsi="Georgia" w:cs="Georgia"/>
                                  <w:b/>
                                  <w:bCs/>
                                  <w:color w:val="D5B788"/>
                                  <w:spacing w:val="18"/>
                                  <w:kern w:val="24"/>
                                </w:rPr>
                                <w:t>REPÚBLICA</w:t>
                              </w:r>
                              <w:r>
                                <w:rPr>
                                  <w:rFonts w:ascii="Georgia" w:hAnsi="Georgia" w:cs="Georgia"/>
                                  <w:b/>
                                  <w:bCs/>
                                  <w:color w:val="D5B788"/>
                                  <w:spacing w:val="29"/>
                                  <w:kern w:val="24"/>
                                </w:rPr>
                                <w:t xml:space="preserve"> </w:t>
                              </w:r>
                              <w:r>
                                <w:rPr>
                                  <w:rFonts w:ascii="Georgia" w:hAnsi="Georgia" w:cs="Georgia"/>
                                  <w:b/>
                                  <w:bCs/>
                                  <w:color w:val="D5B788"/>
                                  <w:kern w:val="24"/>
                                </w:rPr>
                                <w:t>DOMINICANA</w:t>
                              </w:r>
                            </w:p>
                          </w:txbxContent>
                        </wps:txbx>
                        <wps:bodyPr vert="horz" wrap="square" lIns="0" tIns="15240" rIns="0" bIns="0" rtlCol="0">
                          <a:noAutofit/>
                        </wps:bodyPr>
                      </wps:wsp>
                      <wpg:grpSp>
                        <wpg:cNvPr id="39" name="Group 39"/>
                        <wpg:cNvGrpSpPr/>
                        <wpg:grpSpPr>
                          <a:xfrm>
                            <a:off x="0" y="0"/>
                            <a:ext cx="612775" cy="1005840"/>
                            <a:chOff x="0" y="0"/>
                            <a:chExt cx="612775" cy="1005840"/>
                          </a:xfrm>
                        </wpg:grpSpPr>
                        <wps:wsp>
                          <wps:cNvPr id="40" name="Freeform: Shape 40"/>
                          <wps:cNvSpPr>
                            <a:spLocks/>
                          </wps:cNvSpPr>
                          <wps:spPr>
                            <a:xfrm>
                              <a:off x="0" y="981075"/>
                              <a:ext cx="513080" cy="24765"/>
                            </a:xfrm>
                            <a:custGeom>
                              <a:avLst/>
                              <a:gdLst/>
                              <a:ahLst/>
                              <a:cxnLst/>
                              <a:rect l="l" t="t" r="r" b="b"/>
                              <a:pathLst>
                                <a:path w="513080" h="24765">
                                  <a:moveTo>
                                    <a:pt x="512457" y="0"/>
                                  </a:moveTo>
                                  <a:lnTo>
                                    <a:pt x="0" y="0"/>
                                  </a:lnTo>
                                  <a:lnTo>
                                    <a:pt x="0" y="24256"/>
                                  </a:lnTo>
                                  <a:lnTo>
                                    <a:pt x="512457" y="24256"/>
                                  </a:lnTo>
                                  <a:lnTo>
                                    <a:pt x="512457" y="0"/>
                                  </a:lnTo>
                                  <a:close/>
                                </a:path>
                              </a:pathLst>
                            </a:custGeom>
                            <a:solidFill>
                              <a:srgbClr val="D5B788"/>
                            </a:solidFill>
                          </wps:spPr>
                          <wps:bodyPr wrap="square" lIns="0" tIns="0" rIns="0" bIns="0" rtlCol="0"/>
                        </wps:wsp>
                        <pic:pic xmlns:pic="http://schemas.openxmlformats.org/drawingml/2006/picture">
                          <pic:nvPicPr>
                            <pic:cNvPr id="41" name="Picture 41" descr="Icon&#10;&#10;Description automatically generated"/>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775" cy="57150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6B80F4FD" id="Group 37" o:spid="_x0000_s1036" style="position:absolute;margin-left:-42.75pt;margin-top:23.4pt;width:212.25pt;height:78.45pt;z-index:251668516;mso-width-relative:margin;mso-height-relative:margin" coordsize="25275,100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">
                <v:shape id="Text Box 38" o:spid="_x0000_s1037" type="#_x0000_t202" style="position:absolute;top:6000;width:25275;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" filled="f" stroked="f">
                  <v:textbox inset="0,1.2pt,0,0">
                    <w:txbxContent>
                      <w:p w14:paraId="7767B958" w14:textId="77777777" w:rsidR="00CD2766" w:rsidRPr="003A00CC" w:rsidRDefault="00CD2766" w:rsidP="00CD2766">
                        <w:pPr>
                          <w:pStyle w:val="NoSpacing"/>
                          <w:rPr>
                            <w:rFonts w:ascii="Arial MT" w:hAnsi="Arial MT" w:cs="Arial MT"/>
                            <w:color w:val="D5B788"/>
                            <w:spacing w:val="23"/>
                            <w:kern w:val="24"/>
                            <w:sz w:val="15"/>
                            <w:szCs w:val="15"/>
                          </w:rPr>
                        </w:pPr>
                        <w:r w:rsidRPr="003A00CC">
                          <w:rPr>
                            <w:rFonts w:ascii="Arial MT" w:hAnsi="Arial MT" w:cs="Arial MT"/>
                            <w:color w:val="D5B788"/>
                            <w:spacing w:val="23"/>
                            <w:kern w:val="24"/>
                            <w:sz w:val="15"/>
                            <w:szCs w:val="15"/>
                          </w:rPr>
                          <w:t>GOBIERNO DE LA</w:t>
                        </w:r>
                      </w:p>
                      <w:p w14:paraId="613E52F6" w14:textId="77777777" w:rsidR="00CD2766" w:rsidRDefault="00CD2766" w:rsidP="00CD2766">
                        <w:pPr>
                          <w:spacing w:before="13"/>
                          <w:ind w:left="14"/>
                          <w:rPr>
                            <w:rFonts w:ascii="Georgia" w:hAnsi="Georgia" w:cs="Georgia"/>
                            <w:b/>
                            <w:bCs/>
                            <w:color w:val="D5B788"/>
                            <w:spacing w:val="18"/>
                            <w:kern w:val="24"/>
                          </w:rPr>
                        </w:pPr>
                        <w:r>
                          <w:rPr>
                            <w:rFonts w:ascii="Georgia" w:hAnsi="Georgia" w:cs="Georgia"/>
                            <w:b/>
                            <w:bCs/>
                            <w:color w:val="D5B788"/>
                            <w:spacing w:val="18"/>
                            <w:kern w:val="24"/>
                          </w:rPr>
                          <w:t>REPÚBLICA</w:t>
                        </w:r>
                        <w:r>
                          <w:rPr>
                            <w:rFonts w:ascii="Georgia" w:hAnsi="Georgia" w:cs="Georgia"/>
                            <w:b/>
                            <w:bCs/>
                            <w:color w:val="D5B788"/>
                            <w:spacing w:val="29"/>
                            <w:kern w:val="24"/>
                          </w:rPr>
                          <w:t xml:space="preserve"> </w:t>
                        </w:r>
                        <w:r>
                          <w:rPr>
                            <w:rFonts w:ascii="Georgia" w:hAnsi="Georgia" w:cs="Georgia"/>
                            <w:b/>
                            <w:bCs/>
                            <w:color w:val="D5B788"/>
                            <w:kern w:val="24"/>
                          </w:rPr>
                          <w:t>DOMINICANA</w:t>
                        </w:r>
                      </w:p>
                    </w:txbxContent>
                  </v:textbox>
                </v:shape>
                <v:group id="Group 39" o:spid="_x0000_s1038" style="position:absolute;width:6127;height:10058" coordsize="6127,10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Freeform: Shape 40" o:spid="_x0000_s1039" style="position:absolute;top:9810;width:5130;height:248;visibility:visible;mso-wrap-style:square;v-text-anchor:top" coordsize="513080,24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" path="m512457,l,,,24256r512457,l512457,xe" fillcolor="#d5b788" stroked="f">
                    <v:path arrowok="t"/>
                  </v:shape>
                  <v:shape id="Picture 41" o:spid="_x0000_s1040" type="#_x0000_t75" alt="Icon&#10;&#10;Description automatically generated" style="position:absolute;width:6127;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">
                    <v:imagedata r:id="rId14" o:title="Icon&#10;&#10;Description automatically generated"/>
                  </v:shape>
                </v:group>
              </v:group>
            </w:pict>
          </mc:Fallback>
        </mc:AlternateContent>
      </w:r>
    </w:p>
    <w:p w14:paraId="1710A47C" w14:textId="49367C93" w:rsidR="261A79E1" w:rsidRPr="00232EBB" w:rsidRDefault="00157831" w:rsidP="03B8D929">
      <w:pPr>
        <w:tabs>
          <w:tab w:val="left" w:pos="5229"/>
        </w:tabs>
        <w:rPr>
          <w:lang w:val="es-DO"/>
        </w:rPr>
      </w:pPr>
      <w:r w:rsidRPr="00232EBB">
        <w:rPr>
          <w:noProof/>
        </w:rPr>
        <w:drawing>
          <wp:anchor distT="0" distB="0" distL="114300" distR="114300" simplePos="0" relativeHeight="251660324" behindDoc="0" locked="0" layoutInCell="1" allowOverlap="1" wp14:anchorId="132EA5E7" wp14:editId="78DC7CF0">
            <wp:simplePos x="0" y="0"/>
            <wp:positionH relativeFrom="margin">
              <wp:posOffset>3846830</wp:posOffset>
            </wp:positionH>
            <wp:positionV relativeFrom="paragraph">
              <wp:posOffset>213995</wp:posOffset>
            </wp:positionV>
            <wp:extent cx="1847850" cy="789305"/>
            <wp:effectExtent l="0" t="0" r="0" b="0"/>
            <wp:wrapNone/>
            <wp:docPr id="1209127369" name="Picture 1209127369" descr="A picture containing text, font, businesscard, graphics&#10;&#10;Description automatically generated"/>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 font, businesscard, graphic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47850" cy="789305"/>
                    </a:xfrm>
                    <a:prstGeom prst="rect">
                      <a:avLst/>
                    </a:prstGeom>
                  </pic:spPr>
                </pic:pic>
              </a:graphicData>
            </a:graphic>
          </wp:anchor>
        </w:drawing>
      </w:r>
    </w:p>
    <w:p w14:paraId="40372391" w14:textId="6E7DE27C" w:rsidR="03B8D929" w:rsidRPr="00232EBB" w:rsidRDefault="03B8D929" w:rsidP="03B8D929">
      <w:pPr>
        <w:tabs>
          <w:tab w:val="left" w:pos="5229"/>
        </w:tabs>
        <w:rPr>
          <w:lang w:val="es-DO"/>
        </w:rPr>
      </w:pPr>
    </w:p>
    <w:p w14:paraId="182A4D77" w14:textId="2430E1DF" w:rsidR="03B8D929" w:rsidRPr="00232EBB" w:rsidRDefault="03B8D929" w:rsidP="03B8D929">
      <w:pPr>
        <w:tabs>
          <w:tab w:val="left" w:pos="5229"/>
        </w:tabs>
        <w:rPr>
          <w:lang w:val="es-DO"/>
        </w:rPr>
      </w:pPr>
    </w:p>
    <w:p w14:paraId="31E2FE32" w14:textId="2317FF3C" w:rsidR="00545797" w:rsidRPr="00232EBB" w:rsidRDefault="00545797" w:rsidP="00545797">
      <w:pPr>
        <w:jc w:val="center"/>
        <w:rPr>
          <w:b/>
          <w:bCs/>
          <w:color w:val="4C4747"/>
          <w:sz w:val="28"/>
          <w:lang w:val="es-DO"/>
        </w:rPr>
      </w:pPr>
      <w:r w:rsidRPr="00232EBB">
        <w:rPr>
          <w:b/>
          <w:bCs/>
          <w:color w:val="4C4747"/>
          <w:sz w:val="28"/>
          <w:lang w:val="es-DO"/>
        </w:rPr>
        <w:lastRenderedPageBreak/>
        <w:t>TABLA DE CONTENIDOS</w:t>
      </w:r>
    </w:p>
    <w:p w14:paraId="6C3E8713" w14:textId="043AA35F" w:rsidR="00545797" w:rsidRPr="00232EBB" w:rsidRDefault="00545797" w:rsidP="00545797">
      <w:pPr>
        <w:rPr>
          <w:color w:val="4C4747"/>
          <w:lang w:val="es-DO"/>
        </w:rPr>
      </w:pPr>
      <w:r w:rsidRPr="00232EBB">
        <w:rPr>
          <w:noProof/>
          <w:color w:val="4C4747"/>
        </w:rPr>
        <mc:AlternateContent>
          <mc:Choice Requires="wps">
            <w:drawing>
              <wp:anchor distT="0" distB="0" distL="114300" distR="114300" simplePos="0" relativeHeight="251658249" behindDoc="0" locked="0" layoutInCell="1" allowOverlap="1" wp14:anchorId="1E07F231" wp14:editId="6E025B42">
                <wp:simplePos x="0" y="0"/>
                <wp:positionH relativeFrom="margin">
                  <wp:posOffset>2151304</wp:posOffset>
                </wp:positionH>
                <wp:positionV relativeFrom="paragraph">
                  <wp:posOffset>65049</wp:posOffset>
                </wp:positionV>
                <wp:extent cx="463550" cy="0"/>
                <wp:effectExtent l="22860" t="15875" r="18415" b="22225"/>
                <wp:wrapNone/>
                <wp:docPr id="18" name="Straight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3550" cy="0"/>
                        </a:xfrm>
                        <a:prstGeom prst="line">
                          <a:avLst/>
                        </a:prstGeom>
                        <a:noFill/>
                        <a:ln w="28575" algn="ctr">
                          <a:solidFill>
                            <a:srgbClr val="EE2A24"/>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543721E8">
              <v:line id="Straight Connector 18" style="position:absolute;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spid="_x0000_s1026" strokecolor="#ee2a24" strokeweight="2.25pt" from="169.4pt,5.1pt" to="205.9pt,5.1pt" w14:anchorId="510E4CD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">
                <v:stroke joinstyle="miter"/>
                <w10:wrap anchorx="margin"/>
              </v:line>
            </w:pict>
          </mc:Fallback>
        </mc:AlternateContent>
      </w:r>
    </w:p>
    <w:p w14:paraId="2539C61E" w14:textId="01E8C40F" w:rsidR="00545797" w:rsidRPr="00232EBB" w:rsidRDefault="00654164" w:rsidP="004945BF">
      <w:pPr>
        <w:jc w:val="center"/>
        <w:rPr>
          <w:lang w:val="es-DO"/>
        </w:rPr>
      </w:pPr>
      <w:r w:rsidRPr="00232EBB">
        <w:rPr>
          <w:lang w:val="es-DO"/>
        </w:rPr>
        <w:t xml:space="preserve">Memoria </w:t>
      </w:r>
      <w:r w:rsidR="00D837AC" w:rsidRPr="00232EBB">
        <w:rPr>
          <w:lang w:val="es-DO"/>
        </w:rPr>
        <w:t>I</w:t>
      </w:r>
      <w:r w:rsidRPr="00232EBB">
        <w:rPr>
          <w:lang w:val="es-DO"/>
        </w:rPr>
        <w:t>nstitucional</w:t>
      </w:r>
      <w:r w:rsidR="00545797" w:rsidRPr="00232EBB">
        <w:rPr>
          <w:lang w:val="es-DO"/>
        </w:rPr>
        <w:t xml:space="preserve"> </w:t>
      </w:r>
      <w:r w:rsidR="000025D4" w:rsidRPr="00232EBB">
        <w:rPr>
          <w:lang w:val="es-DO"/>
        </w:rPr>
        <w:t>202</w:t>
      </w:r>
      <w:r w:rsidR="00B278C4" w:rsidRPr="00232EBB">
        <w:rPr>
          <w:lang w:val="es-DO"/>
        </w:rPr>
        <w:t>5</w:t>
      </w:r>
    </w:p>
    <w:sdt>
      <w:sdtPr>
        <w:rPr>
          <w:rFonts w:ascii="Times New Roman" w:eastAsiaTheme="minorEastAsia" w:hAnsi="Times New Roman" w:cs="Times New Roman"/>
          <w:b/>
          <w:bCs/>
          <w:noProof/>
          <w:color w:val="4C4747"/>
          <w:sz w:val="24"/>
          <w:szCs w:val="24"/>
          <w:lang w:val="es-DO"/>
        </w:rPr>
        <w:id w:val="-1111128147"/>
        <w:docPartObj>
          <w:docPartGallery w:val="Table of Contents"/>
          <w:docPartUnique/>
        </w:docPartObj>
      </w:sdtPr>
      <w:sdtEndPr/>
      <w:sdtContent>
        <w:p w14:paraId="13CA098D" w14:textId="2CC93254" w:rsidR="00A630BC" w:rsidRPr="00232EBB" w:rsidRDefault="00A630BC" w:rsidP="00A24B7D">
          <w:pPr>
            <w:pStyle w:val="TOCHeading"/>
            <w:jc w:val="both"/>
            <w:rPr>
              <w:rFonts w:ascii="Times New Roman" w:hAnsi="Times New Roman" w:cs="Times New Roman"/>
              <w:color w:val="4C4747"/>
            </w:rPr>
          </w:pPr>
        </w:p>
        <w:p w14:paraId="61500173" w14:textId="1B4F08B6" w:rsidR="004C50A7" w:rsidRPr="00232EBB" w:rsidRDefault="00A630BC" w:rsidP="00A24B7D">
          <w:pPr>
            <w:pStyle w:val="TOC1"/>
            <w:jc w:val="both"/>
            <w:rPr>
              <w:rFonts w:eastAsiaTheme="minorEastAsia" w:cs="Times New Roman"/>
              <w:b w:val="0"/>
              <w:bCs w:val="0"/>
              <w:color w:val="auto"/>
              <w:spacing w:val="0"/>
              <w:kern w:val="2"/>
              <w:lang w:val="en-US"/>
              <w14:ligatures w14:val="standardContextual"/>
            </w:rPr>
          </w:pPr>
          <w:r w:rsidRPr="00232EBB">
            <w:rPr>
              <w:rFonts w:cs="Times New Roman"/>
              <w:b w:val="0"/>
              <w:bCs w:val="0"/>
              <w:noProof w:val="0"/>
              <w:color w:val="4C4747"/>
            </w:rPr>
            <w:fldChar w:fldCharType="begin"/>
          </w:r>
          <w:r w:rsidRPr="00232EBB">
            <w:rPr>
              <w:rFonts w:cs="Times New Roman"/>
              <w:b w:val="0"/>
              <w:bCs w:val="0"/>
              <w:color w:val="4C4747"/>
            </w:rPr>
            <w:instrText xml:space="preserve"> TOC \o "1-3" \h \z \u </w:instrText>
          </w:r>
          <w:r w:rsidRPr="00232EBB">
            <w:rPr>
              <w:rFonts w:cs="Times New Roman"/>
              <w:b w:val="0"/>
              <w:bCs w:val="0"/>
              <w:noProof w:val="0"/>
              <w:color w:val="4C4747"/>
            </w:rPr>
            <w:fldChar w:fldCharType="separate"/>
          </w:r>
          <w:hyperlink w:anchor="_Toc216952199" w:history="1">
            <w:r w:rsidR="004C50A7" w:rsidRPr="00232EBB">
              <w:rPr>
                <w:rStyle w:val="Hyperlink"/>
                <w:rFonts w:cs="Times New Roman"/>
                <w:b w:val="0"/>
                <w:bCs w:val="0"/>
                <w:lang w:val="es-ES"/>
              </w:rPr>
              <w:t>PRESENTACIÓN</w:t>
            </w:r>
            <w:r w:rsidR="004C50A7" w:rsidRPr="00232EBB">
              <w:rPr>
                <w:rFonts w:cs="Times New Roman"/>
                <w:b w:val="0"/>
                <w:bCs w:val="0"/>
                <w:webHidden/>
              </w:rPr>
              <w:tab/>
            </w:r>
            <w:r w:rsidR="004C50A7" w:rsidRPr="00232EBB">
              <w:rPr>
                <w:rFonts w:cs="Times New Roman"/>
                <w:b w:val="0"/>
                <w:bCs w:val="0"/>
                <w:webHidden/>
              </w:rPr>
              <w:fldChar w:fldCharType="begin"/>
            </w:r>
            <w:r w:rsidR="004C50A7" w:rsidRPr="00232EBB">
              <w:rPr>
                <w:rFonts w:cs="Times New Roman"/>
                <w:b w:val="0"/>
                <w:bCs w:val="0"/>
                <w:webHidden/>
              </w:rPr>
              <w:instrText xml:space="preserve"> PAGEREF _Toc216952199 \h </w:instrText>
            </w:r>
            <w:r w:rsidR="004C50A7" w:rsidRPr="00232EBB">
              <w:rPr>
                <w:rFonts w:cs="Times New Roman"/>
                <w:b w:val="0"/>
                <w:bCs w:val="0"/>
                <w:webHidden/>
              </w:rPr>
            </w:r>
            <w:r w:rsidR="004C50A7" w:rsidRPr="00232EBB">
              <w:rPr>
                <w:rFonts w:cs="Times New Roman"/>
                <w:b w:val="0"/>
                <w:bCs w:val="0"/>
                <w:webHidden/>
              </w:rPr>
              <w:fldChar w:fldCharType="separate"/>
            </w:r>
            <w:r w:rsidR="004622C5">
              <w:rPr>
                <w:rFonts w:cs="Times New Roman"/>
                <w:b w:val="0"/>
                <w:bCs w:val="0"/>
                <w:webHidden/>
              </w:rPr>
              <w:t>6</w:t>
            </w:r>
            <w:r w:rsidR="004C50A7" w:rsidRPr="00232EBB">
              <w:rPr>
                <w:rFonts w:cs="Times New Roman"/>
                <w:b w:val="0"/>
                <w:bCs w:val="0"/>
                <w:webHidden/>
              </w:rPr>
              <w:fldChar w:fldCharType="end"/>
            </w:r>
          </w:hyperlink>
        </w:p>
        <w:p w14:paraId="5554814D" w14:textId="2918BB74"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00" w:history="1">
            <w:r w:rsidRPr="00232EBB">
              <w:rPr>
                <w:rStyle w:val="Hyperlink"/>
                <w:rFonts w:eastAsia="Calibri" w:cs="Times New Roman"/>
                <w:b w:val="0"/>
                <w:bCs w:val="0"/>
              </w:rPr>
              <w:t>I. RESUMEN EJECUTIVO</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_Toc216952200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w:t>
            </w:r>
            <w:r w:rsidRPr="00232EBB">
              <w:rPr>
                <w:rFonts w:cs="Times New Roman"/>
                <w:b w:val="0"/>
                <w:bCs w:val="0"/>
                <w:webHidden/>
              </w:rPr>
              <w:fldChar w:fldCharType="end"/>
            </w:r>
          </w:hyperlink>
        </w:p>
        <w:p w14:paraId="25F15B30" w14:textId="7B27EAD9"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01" w:history="1">
            <w:r w:rsidRPr="00232EBB">
              <w:rPr>
                <w:rStyle w:val="Hyperlink"/>
                <w:rFonts w:cs="Times New Roman"/>
                <w:b w:val="0"/>
                <w:bCs w:val="0"/>
              </w:rPr>
              <w:t>II. INFORMACIÓN INSTITUCIONAL</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_Toc216952201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10</w:t>
            </w:r>
            <w:r w:rsidRPr="00232EBB">
              <w:rPr>
                <w:rFonts w:cs="Times New Roman"/>
                <w:b w:val="0"/>
                <w:bCs w:val="0"/>
                <w:webHidden/>
              </w:rPr>
              <w:fldChar w:fldCharType="end"/>
            </w:r>
          </w:hyperlink>
        </w:p>
        <w:p w14:paraId="37440FB6" w14:textId="7A0431BE"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02" w:history="1">
            <w:r w:rsidRPr="00232EBB">
              <w:rPr>
                <w:rStyle w:val="Hyperlink"/>
                <w:rFonts w:cs="Times New Roman"/>
                <w:b w:val="0"/>
                <w:bCs w:val="0"/>
              </w:rPr>
              <w:t>2.1 Marco Filosófico Institucional</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_Toc216952202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10</w:t>
            </w:r>
            <w:r w:rsidRPr="00232EBB">
              <w:rPr>
                <w:rFonts w:cs="Times New Roman"/>
                <w:b w:val="0"/>
                <w:bCs w:val="0"/>
                <w:webHidden/>
              </w:rPr>
              <w:fldChar w:fldCharType="end"/>
            </w:r>
          </w:hyperlink>
        </w:p>
        <w:p w14:paraId="491B99B3" w14:textId="160F8B55"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03" w:history="1">
            <w:r w:rsidRPr="00232EBB">
              <w:rPr>
                <w:rStyle w:val="Hyperlink"/>
                <w:rFonts w:cs="Times New Roman"/>
                <w:b w:val="0"/>
                <w:bCs w:val="0"/>
              </w:rPr>
              <w:t>Misión</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_Toc216952203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10</w:t>
            </w:r>
            <w:r w:rsidRPr="00232EBB">
              <w:rPr>
                <w:rFonts w:cs="Times New Roman"/>
                <w:b w:val="0"/>
                <w:bCs w:val="0"/>
                <w:webHidden/>
              </w:rPr>
              <w:fldChar w:fldCharType="end"/>
            </w:r>
          </w:hyperlink>
        </w:p>
        <w:p w14:paraId="4A860A65" w14:textId="3F01373C"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05" w:history="1">
            <w:r w:rsidRPr="00232EBB">
              <w:rPr>
                <w:rStyle w:val="Hyperlink"/>
                <w:rFonts w:cs="Times New Roman"/>
                <w:b w:val="0"/>
                <w:bCs w:val="0"/>
              </w:rPr>
              <w:t>Visión</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_Toc216952205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10</w:t>
            </w:r>
            <w:r w:rsidRPr="00232EBB">
              <w:rPr>
                <w:rFonts w:cs="Times New Roman"/>
                <w:b w:val="0"/>
                <w:bCs w:val="0"/>
                <w:webHidden/>
              </w:rPr>
              <w:fldChar w:fldCharType="end"/>
            </w:r>
          </w:hyperlink>
        </w:p>
        <w:p w14:paraId="0DA392EE" w14:textId="14DE5C4A"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07" w:history="1">
            <w:r w:rsidRPr="00232EBB">
              <w:rPr>
                <w:rStyle w:val="Hyperlink"/>
                <w:rFonts w:cs="Times New Roman"/>
                <w:b w:val="0"/>
                <w:bCs w:val="0"/>
              </w:rPr>
              <w:t>Valores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_Toc216952207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10</w:t>
            </w:r>
            <w:r w:rsidRPr="00232EBB">
              <w:rPr>
                <w:rFonts w:cs="Times New Roman"/>
                <w:b w:val="0"/>
                <w:bCs w:val="0"/>
                <w:webHidden/>
              </w:rPr>
              <w:fldChar w:fldCharType="end"/>
            </w:r>
          </w:hyperlink>
        </w:p>
        <w:p w14:paraId="57487366" w14:textId="2BD2B25F"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08" w:history="1">
            <w:r w:rsidRPr="00232EBB">
              <w:rPr>
                <w:rStyle w:val="Hyperlink"/>
                <w:rFonts w:cs="Times New Roman"/>
                <w:b w:val="0"/>
                <w:bCs w:val="0"/>
              </w:rPr>
              <w:t>2.2 Normativa Reguladora</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_Toc216952208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12</w:t>
            </w:r>
            <w:r w:rsidRPr="00232EBB">
              <w:rPr>
                <w:rFonts w:cs="Times New Roman"/>
                <w:b w:val="0"/>
                <w:bCs w:val="0"/>
                <w:webHidden/>
              </w:rPr>
              <w:fldChar w:fldCharType="end"/>
            </w:r>
          </w:hyperlink>
        </w:p>
        <w:p w14:paraId="11800013" w14:textId="399D75F1"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09" w:history="1">
            <w:r w:rsidRPr="00232EBB">
              <w:rPr>
                <w:rStyle w:val="Hyperlink"/>
                <w:rFonts w:cs="Times New Roman"/>
                <w:b w:val="0"/>
                <w:bCs w:val="0"/>
              </w:rPr>
              <w:t>2.4 Listado de los Principales funcionarios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_Toc216952209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18</w:t>
            </w:r>
            <w:r w:rsidRPr="00232EBB">
              <w:rPr>
                <w:rFonts w:cs="Times New Roman"/>
                <w:b w:val="0"/>
                <w:bCs w:val="0"/>
                <w:webHidden/>
              </w:rPr>
              <w:fldChar w:fldCharType="end"/>
            </w:r>
          </w:hyperlink>
        </w:p>
        <w:p w14:paraId="768FA194" w14:textId="06C26F51"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10" w:history="1">
            <w:r w:rsidRPr="00232EBB">
              <w:rPr>
                <w:rStyle w:val="Hyperlink"/>
                <w:rFonts w:cs="Times New Roman"/>
                <w:b w:val="0"/>
                <w:bCs w:val="0"/>
              </w:rPr>
              <w:t>2.5 Planificación Estratégica Institucional</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_Toc216952210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19</w:t>
            </w:r>
            <w:r w:rsidRPr="00232EBB">
              <w:rPr>
                <w:rFonts w:cs="Times New Roman"/>
                <w:b w:val="0"/>
                <w:bCs w:val="0"/>
                <w:webHidden/>
              </w:rPr>
              <w:fldChar w:fldCharType="end"/>
            </w:r>
          </w:hyperlink>
        </w:p>
        <w:p w14:paraId="7063712A" w14:textId="4CFD26F4"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12" w:history="1">
            <w:r w:rsidRPr="00232EBB">
              <w:rPr>
                <w:rStyle w:val="Hyperlink"/>
                <w:rFonts w:cs="Times New Roman"/>
                <w:b w:val="0"/>
                <w:bCs w:val="0"/>
              </w:rPr>
              <w:t>III. RESULTADOS MISIONALES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_Toc216952212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23</w:t>
            </w:r>
            <w:r w:rsidRPr="00232EBB">
              <w:rPr>
                <w:rFonts w:cs="Times New Roman"/>
                <w:b w:val="0"/>
                <w:bCs w:val="0"/>
                <w:webHidden/>
              </w:rPr>
              <w:fldChar w:fldCharType="end"/>
            </w:r>
          </w:hyperlink>
        </w:p>
        <w:p w14:paraId="31F94AD3" w14:textId="05040853"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13" w:history="1">
            <w:r w:rsidRPr="00232EBB">
              <w:rPr>
                <w:rStyle w:val="Hyperlink"/>
                <w:rFonts w:cs="Times New Roman"/>
                <w:b w:val="0"/>
                <w:bCs w:val="0"/>
              </w:rPr>
              <w:t>3.1 Información Cuantitativa, Cualitativa e Indicadores de los Procesos Misionales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_Toc216952213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23</w:t>
            </w:r>
            <w:r w:rsidRPr="00232EBB">
              <w:rPr>
                <w:rFonts w:cs="Times New Roman"/>
                <w:b w:val="0"/>
                <w:bCs w:val="0"/>
                <w:webHidden/>
              </w:rPr>
              <w:fldChar w:fldCharType="end"/>
            </w:r>
          </w:hyperlink>
        </w:p>
        <w:p w14:paraId="43B85027" w14:textId="0EA24726"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14" w:history="1">
            <w:r w:rsidRPr="00232EBB">
              <w:rPr>
                <w:rStyle w:val="Hyperlink"/>
                <w:rFonts w:eastAsia="Calibri" w:cs="Times New Roman"/>
                <w:b w:val="0"/>
                <w:bCs w:val="0"/>
                <w:lang w:val="es-ES"/>
              </w:rPr>
              <w:t>Régimen Subsidiado</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_Toc216952214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26</w:t>
            </w:r>
            <w:r w:rsidRPr="00232EBB">
              <w:rPr>
                <w:rFonts w:cs="Times New Roman"/>
                <w:b w:val="0"/>
                <w:bCs w:val="0"/>
                <w:webHidden/>
              </w:rPr>
              <w:fldChar w:fldCharType="end"/>
            </w:r>
          </w:hyperlink>
        </w:p>
        <w:p w14:paraId="10E7B74C" w14:textId="7208FB46"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15" w:history="1">
            <w:r w:rsidRPr="00232EBB">
              <w:rPr>
                <w:rStyle w:val="Hyperlink"/>
                <w:rFonts w:eastAsia="Calibri" w:cs="Times New Roman"/>
                <w:b w:val="0"/>
                <w:bCs w:val="0"/>
                <w:lang w:val="es-ES"/>
              </w:rPr>
              <w:t>Aportes del Estado</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_Toc216952215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26</w:t>
            </w:r>
            <w:r w:rsidRPr="00232EBB">
              <w:rPr>
                <w:rFonts w:cs="Times New Roman"/>
                <w:b w:val="0"/>
                <w:bCs w:val="0"/>
                <w:webHidden/>
              </w:rPr>
              <w:fldChar w:fldCharType="end"/>
            </w:r>
          </w:hyperlink>
        </w:p>
        <w:p w14:paraId="246F8AE5" w14:textId="5A369DF6"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16" w:history="1">
            <w:r w:rsidRPr="00232EBB">
              <w:rPr>
                <w:rStyle w:val="Hyperlink"/>
                <w:rFonts w:eastAsia="Calibri" w:cs="Times New Roman"/>
                <w:b w:val="0"/>
                <w:bCs w:val="0"/>
                <w:lang w:val="es-ES"/>
              </w:rPr>
              <w:t>Pagos Realizados a SENASA</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_Toc216952216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26</w:t>
            </w:r>
            <w:r w:rsidRPr="00232EBB">
              <w:rPr>
                <w:rFonts w:cs="Times New Roman"/>
                <w:b w:val="0"/>
                <w:bCs w:val="0"/>
                <w:webHidden/>
              </w:rPr>
              <w:fldChar w:fldCharType="end"/>
            </w:r>
          </w:hyperlink>
        </w:p>
        <w:p w14:paraId="66303414" w14:textId="2ACFF81F"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17" w:history="1">
            <w:r w:rsidRPr="00232EBB">
              <w:rPr>
                <w:rStyle w:val="Hyperlink"/>
                <w:rFonts w:cs="Times New Roman"/>
                <w:b w:val="0"/>
                <w:bCs w:val="0"/>
              </w:rPr>
              <w:t>Certificaciones Manuales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_Toc216952217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37</w:t>
            </w:r>
            <w:r w:rsidRPr="00232EBB">
              <w:rPr>
                <w:rFonts w:cs="Times New Roman"/>
                <w:b w:val="0"/>
                <w:bCs w:val="0"/>
                <w:webHidden/>
              </w:rPr>
              <w:fldChar w:fldCharType="end"/>
            </w:r>
          </w:hyperlink>
        </w:p>
        <w:p w14:paraId="624AC8A4" w14:textId="3565F79F"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18" w:history="1">
            <w:r w:rsidRPr="00232EBB">
              <w:rPr>
                <w:rStyle w:val="Hyperlink"/>
                <w:rFonts w:cs="Times New Roman"/>
                <w:b w:val="0"/>
                <w:bCs w:val="0"/>
              </w:rPr>
              <w:t>Asignación de Números de Seguridad Social</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_Toc216952218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37</w:t>
            </w:r>
            <w:r w:rsidRPr="00232EBB">
              <w:rPr>
                <w:rFonts w:cs="Times New Roman"/>
                <w:b w:val="0"/>
                <w:bCs w:val="0"/>
                <w:webHidden/>
              </w:rPr>
              <w:fldChar w:fldCharType="end"/>
            </w:r>
          </w:hyperlink>
        </w:p>
        <w:p w14:paraId="6A003290" w14:textId="675DA44E"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19" w:history="1">
            <w:r w:rsidRPr="00232EBB">
              <w:rPr>
                <w:rStyle w:val="Hyperlink"/>
                <w:rFonts w:cs="Times New Roman"/>
                <w:b w:val="0"/>
                <w:bCs w:val="0"/>
              </w:rPr>
              <w:t>Contexto y Función del Número de Seguridad Social (NSS)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_Toc216952219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37</w:t>
            </w:r>
            <w:r w:rsidRPr="00232EBB">
              <w:rPr>
                <w:rFonts w:cs="Times New Roman"/>
                <w:b w:val="0"/>
                <w:bCs w:val="0"/>
                <w:webHidden/>
              </w:rPr>
              <w:fldChar w:fldCharType="end"/>
            </w:r>
          </w:hyperlink>
        </w:p>
        <w:p w14:paraId="24A0A93D" w14:textId="3F892535"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20" w:history="1">
            <w:r w:rsidRPr="00232EBB">
              <w:rPr>
                <w:rStyle w:val="Hyperlink"/>
                <w:rFonts w:cs="Times New Roman"/>
                <w:b w:val="0"/>
                <w:bCs w:val="0"/>
              </w:rPr>
              <w:t>Datos de Asignación de NSS en 2025</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_Toc216952220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38</w:t>
            </w:r>
            <w:r w:rsidRPr="00232EBB">
              <w:rPr>
                <w:rFonts w:cs="Times New Roman"/>
                <w:b w:val="0"/>
                <w:bCs w:val="0"/>
                <w:webHidden/>
              </w:rPr>
              <w:fldChar w:fldCharType="end"/>
            </w:r>
          </w:hyperlink>
        </w:p>
        <w:p w14:paraId="4289445B" w14:textId="45E1B4D7"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21" w:history="1">
            <w:r w:rsidRPr="00232EBB">
              <w:rPr>
                <w:rStyle w:val="Hyperlink"/>
                <w:rFonts w:cs="Times New Roman"/>
                <w:b w:val="0"/>
                <w:bCs w:val="0"/>
              </w:rPr>
              <w:t>Asignación Número de Seguridad Social</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_Toc216952221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38</w:t>
            </w:r>
            <w:r w:rsidRPr="00232EBB">
              <w:rPr>
                <w:rFonts w:cs="Times New Roman"/>
                <w:b w:val="0"/>
                <w:bCs w:val="0"/>
                <w:webHidden/>
              </w:rPr>
              <w:fldChar w:fldCharType="end"/>
            </w:r>
          </w:hyperlink>
        </w:p>
        <w:p w14:paraId="27101D91" w14:textId="7575EA80"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22" w:history="1">
            <w:r w:rsidRPr="00232EBB">
              <w:rPr>
                <w:rStyle w:val="Hyperlink"/>
                <w:rFonts w:cs="Times New Roman"/>
                <w:b w:val="0"/>
                <w:bCs w:val="0"/>
              </w:rPr>
              <w:t>Importancia de la Asignación de NSS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_Toc216952222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39</w:t>
            </w:r>
            <w:r w:rsidRPr="00232EBB">
              <w:rPr>
                <w:rFonts w:cs="Times New Roman"/>
                <w:b w:val="0"/>
                <w:bCs w:val="0"/>
                <w:webHidden/>
              </w:rPr>
              <w:fldChar w:fldCharType="end"/>
            </w:r>
          </w:hyperlink>
        </w:p>
        <w:p w14:paraId="304B1A98" w14:textId="17515A2E"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23" w:history="1">
            <w:r w:rsidRPr="00232EBB">
              <w:rPr>
                <w:rStyle w:val="Hyperlink"/>
                <w:rFonts w:cs="Times New Roman"/>
                <w:b w:val="0"/>
                <w:bCs w:val="0"/>
              </w:rPr>
              <w:t>Capacitaciones a empleadores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_Toc216952223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39</w:t>
            </w:r>
            <w:r w:rsidRPr="00232EBB">
              <w:rPr>
                <w:rFonts w:cs="Times New Roman"/>
                <w:b w:val="0"/>
                <w:bCs w:val="0"/>
                <w:webHidden/>
              </w:rPr>
              <w:fldChar w:fldCharType="end"/>
            </w:r>
          </w:hyperlink>
        </w:p>
        <w:p w14:paraId="4C4807AB" w14:textId="5DCC0857"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24" w:history="1">
            <w:r w:rsidRPr="00232EBB">
              <w:rPr>
                <w:rStyle w:val="Hyperlink"/>
                <w:rFonts w:cs="Times New Roman"/>
                <w:b w:val="0"/>
                <w:bCs w:val="0"/>
              </w:rPr>
              <w:t>IV. RESULTADOS DE LAS ÁREAS TRANSVERSALES Y DE APOYO</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_Toc216952224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43</w:t>
            </w:r>
            <w:r w:rsidRPr="00232EBB">
              <w:rPr>
                <w:rFonts w:cs="Times New Roman"/>
                <w:b w:val="0"/>
                <w:bCs w:val="0"/>
                <w:webHidden/>
              </w:rPr>
              <w:fldChar w:fldCharType="end"/>
            </w:r>
          </w:hyperlink>
        </w:p>
        <w:p w14:paraId="025B0BC8" w14:textId="0E315979"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25" w:history="1">
            <w:r w:rsidRPr="00232EBB">
              <w:rPr>
                <w:rStyle w:val="Hyperlink"/>
                <w:rFonts w:cs="Times New Roman"/>
                <w:b w:val="0"/>
                <w:bCs w:val="0"/>
              </w:rPr>
              <w:t>4.1 Desempeño Área Administrativa y Financiera</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_Toc216952225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43</w:t>
            </w:r>
            <w:r w:rsidRPr="00232EBB">
              <w:rPr>
                <w:rFonts w:cs="Times New Roman"/>
                <w:b w:val="0"/>
                <w:bCs w:val="0"/>
                <w:webHidden/>
              </w:rPr>
              <w:fldChar w:fldCharType="end"/>
            </w:r>
          </w:hyperlink>
        </w:p>
        <w:p w14:paraId="79DFB744" w14:textId="02FB3AA8"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26" w:history="1">
            <w:r w:rsidRPr="00232EBB">
              <w:rPr>
                <w:rStyle w:val="Hyperlink"/>
                <w:rFonts w:cs="Times New Roman"/>
                <w:b w:val="0"/>
                <w:bCs w:val="0"/>
                <w:lang w:val="es-ES"/>
              </w:rPr>
              <w:t>Imagen 1: Calificación Portal SISCOMPRAS a diciembre 2025.</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_Toc216952226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49</w:t>
            </w:r>
            <w:r w:rsidRPr="00232EBB">
              <w:rPr>
                <w:rFonts w:cs="Times New Roman"/>
                <w:b w:val="0"/>
                <w:bCs w:val="0"/>
                <w:webHidden/>
              </w:rPr>
              <w:fldChar w:fldCharType="end"/>
            </w:r>
          </w:hyperlink>
        </w:p>
        <w:p w14:paraId="1686B414" w14:textId="2D608079"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27" w:history="1">
            <w:r w:rsidRPr="00232EBB">
              <w:rPr>
                <w:rStyle w:val="Hyperlink"/>
                <w:rFonts w:cs="Times New Roman"/>
                <w:b w:val="0"/>
                <w:bCs w:val="0"/>
                <w:lang w:val="es-MX"/>
              </w:rPr>
              <w:t>Gestión Documental.</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_Toc216952227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50</w:t>
            </w:r>
            <w:r w:rsidRPr="00232EBB">
              <w:rPr>
                <w:rFonts w:cs="Times New Roman"/>
                <w:b w:val="0"/>
                <w:bCs w:val="0"/>
                <w:webHidden/>
              </w:rPr>
              <w:fldChar w:fldCharType="end"/>
            </w:r>
          </w:hyperlink>
        </w:p>
        <w:p w14:paraId="48B71DEF" w14:textId="6B4CB14D"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28" w:history="1">
            <w:r w:rsidRPr="00232EBB">
              <w:rPr>
                <w:rStyle w:val="Hyperlink"/>
                <w:rFonts w:cs="Times New Roman"/>
                <w:b w:val="0"/>
                <w:bCs w:val="0"/>
              </w:rPr>
              <w:t>4.2 Desempeño de los Recursos Humanos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_Toc216952228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55</w:t>
            </w:r>
            <w:r w:rsidRPr="00232EBB">
              <w:rPr>
                <w:rFonts w:cs="Times New Roman"/>
                <w:b w:val="0"/>
                <w:bCs w:val="0"/>
                <w:webHidden/>
              </w:rPr>
              <w:fldChar w:fldCharType="end"/>
            </w:r>
          </w:hyperlink>
        </w:p>
        <w:p w14:paraId="34043C48" w14:textId="009216D0"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29" w:history="1">
            <w:r w:rsidRPr="00232EBB">
              <w:rPr>
                <w:rStyle w:val="Hyperlink"/>
                <w:rFonts w:eastAsiaTheme="minorHAnsi" w:cs="Times New Roman"/>
                <w:b w:val="0"/>
                <w:bCs w:val="0"/>
                <w:lang w:val="es-MX"/>
              </w:rPr>
              <w:t>Índice de Reclutamiento y Selección de Personal.</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_Toc216952229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56</w:t>
            </w:r>
            <w:r w:rsidRPr="00232EBB">
              <w:rPr>
                <w:rFonts w:cs="Times New Roman"/>
                <w:b w:val="0"/>
                <w:bCs w:val="0"/>
                <w:webHidden/>
              </w:rPr>
              <w:fldChar w:fldCharType="end"/>
            </w:r>
          </w:hyperlink>
        </w:p>
        <w:p w14:paraId="2189638F" w14:textId="310CFCB5"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30" w:history="1">
            <w:r w:rsidRPr="00232EBB">
              <w:rPr>
                <w:rStyle w:val="Hyperlink"/>
                <w:rFonts w:eastAsiaTheme="minorHAnsi" w:cs="Times New Roman"/>
                <w:b w:val="0"/>
                <w:bCs w:val="0"/>
                <w:lang w:val="es-MX"/>
              </w:rPr>
              <w:t>Crecimiento TSS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_Toc216952230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58</w:t>
            </w:r>
            <w:r w:rsidRPr="00232EBB">
              <w:rPr>
                <w:rFonts w:cs="Times New Roman"/>
                <w:b w:val="0"/>
                <w:bCs w:val="0"/>
                <w:webHidden/>
              </w:rPr>
              <w:fldChar w:fldCharType="end"/>
            </w:r>
          </w:hyperlink>
        </w:p>
        <w:p w14:paraId="2EBD30C7" w14:textId="0413B2F3"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31" w:history="1">
            <w:r w:rsidRPr="00232EBB">
              <w:rPr>
                <w:rStyle w:val="Hyperlink"/>
                <w:rFonts w:eastAsiaTheme="minorHAnsi" w:cs="Times New Roman"/>
                <w:b w:val="0"/>
                <w:bCs w:val="0"/>
                <w:lang w:val="es-MX"/>
              </w:rPr>
              <w:t>Implementación Proceso de Debida Diligencia.</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_Toc216952231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60</w:t>
            </w:r>
            <w:r w:rsidRPr="00232EBB">
              <w:rPr>
                <w:rFonts w:cs="Times New Roman"/>
                <w:b w:val="0"/>
                <w:bCs w:val="0"/>
                <w:webHidden/>
              </w:rPr>
              <w:fldChar w:fldCharType="end"/>
            </w:r>
          </w:hyperlink>
        </w:p>
        <w:p w14:paraId="2B05153D" w14:textId="4F5BA960"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32" w:history="1">
            <w:r w:rsidRPr="00232EBB">
              <w:rPr>
                <w:rStyle w:val="Hyperlink"/>
                <w:rFonts w:eastAsiaTheme="minorHAnsi" w:cs="Times New Roman"/>
                <w:b w:val="0"/>
                <w:bCs w:val="0"/>
                <w:lang w:val="es-MX"/>
              </w:rPr>
              <w:t>Gestión del desempeño.</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_Toc216952232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66</w:t>
            </w:r>
            <w:r w:rsidRPr="00232EBB">
              <w:rPr>
                <w:rFonts w:cs="Times New Roman"/>
                <w:b w:val="0"/>
                <w:bCs w:val="0"/>
                <w:webHidden/>
              </w:rPr>
              <w:fldChar w:fldCharType="end"/>
            </w:r>
          </w:hyperlink>
        </w:p>
        <w:p w14:paraId="7D0CA1EB" w14:textId="11080E47" w:rsidR="004C50A7" w:rsidRPr="00232EBB" w:rsidRDefault="004C50A7" w:rsidP="00A24B7D">
          <w:pPr>
            <w:pStyle w:val="TOC1"/>
            <w:jc w:val="both"/>
            <w:rPr>
              <w:rStyle w:val="Hyperlink"/>
              <w:rFonts w:eastAsiaTheme="minorHAnsi" w:cs="Times New Roman"/>
              <w:lang w:val="es-MX"/>
            </w:rPr>
          </w:pPr>
          <w:hyperlink w:anchor="_Toc216952233" w:history="1">
            <w:r w:rsidRPr="00232EBB">
              <w:rPr>
                <w:rStyle w:val="Hyperlink"/>
                <w:rFonts w:eastAsiaTheme="minorHAnsi" w:cs="Times New Roman"/>
                <w:b w:val="0"/>
                <w:bCs w:val="0"/>
                <w:lang w:val="es-MX"/>
              </w:rPr>
              <w:t>Programa de Mentoring TSS</w:t>
            </w:r>
            <w:r w:rsidRPr="00232EBB">
              <w:rPr>
                <w:rStyle w:val="Hyperlink"/>
                <w:rFonts w:eastAsiaTheme="minorHAnsi" w:cs="Times New Roman"/>
                <w:webHidden/>
                <w:lang w:val="es-MX"/>
              </w:rPr>
              <w:tab/>
            </w:r>
            <w:r w:rsidRPr="00232EBB">
              <w:rPr>
                <w:rStyle w:val="Hyperlink"/>
                <w:rFonts w:eastAsiaTheme="minorHAnsi" w:cs="Times New Roman"/>
                <w:webHidden/>
                <w:lang w:val="es-MX"/>
              </w:rPr>
              <w:fldChar w:fldCharType="begin"/>
            </w:r>
            <w:r w:rsidRPr="00232EBB">
              <w:rPr>
                <w:rStyle w:val="Hyperlink"/>
                <w:rFonts w:eastAsiaTheme="minorHAnsi" w:cs="Times New Roman"/>
                <w:webHidden/>
                <w:lang w:val="es-MX"/>
              </w:rPr>
              <w:instrText xml:space="preserve"> PAGEREF _Toc216952233 \h </w:instrText>
            </w:r>
            <w:r w:rsidRPr="00232EBB">
              <w:rPr>
                <w:rStyle w:val="Hyperlink"/>
                <w:rFonts w:eastAsiaTheme="minorHAnsi" w:cs="Times New Roman"/>
                <w:webHidden/>
                <w:lang w:val="es-MX"/>
              </w:rPr>
            </w:r>
            <w:r w:rsidRPr="00232EBB">
              <w:rPr>
                <w:rStyle w:val="Hyperlink"/>
                <w:rFonts w:eastAsiaTheme="minorHAnsi" w:cs="Times New Roman"/>
                <w:webHidden/>
                <w:lang w:val="es-MX"/>
              </w:rPr>
              <w:fldChar w:fldCharType="separate"/>
            </w:r>
            <w:r w:rsidR="004622C5">
              <w:rPr>
                <w:rStyle w:val="Hyperlink"/>
                <w:rFonts w:eastAsiaTheme="minorHAnsi" w:cs="Times New Roman"/>
                <w:webHidden/>
                <w:lang w:val="es-MX"/>
              </w:rPr>
              <w:t>71</w:t>
            </w:r>
            <w:r w:rsidRPr="00232EBB">
              <w:rPr>
                <w:rStyle w:val="Hyperlink"/>
                <w:rFonts w:eastAsiaTheme="minorHAnsi" w:cs="Times New Roman"/>
                <w:webHidden/>
                <w:lang w:val="es-MX"/>
              </w:rPr>
              <w:fldChar w:fldCharType="end"/>
            </w:r>
          </w:hyperlink>
        </w:p>
        <w:p w14:paraId="68ACAFA0" w14:textId="302FBEB1" w:rsidR="004C50A7" w:rsidRPr="00232EBB" w:rsidRDefault="004C50A7" w:rsidP="00A24B7D">
          <w:pPr>
            <w:pStyle w:val="TOC1"/>
            <w:jc w:val="both"/>
            <w:rPr>
              <w:rStyle w:val="Hyperlink"/>
              <w:rFonts w:eastAsiaTheme="minorHAnsi" w:cs="Times New Roman"/>
              <w:lang w:val="es-MX"/>
            </w:rPr>
          </w:pPr>
          <w:hyperlink w:anchor="_Toc216952234" w:history="1">
            <w:r w:rsidRPr="00232EBB">
              <w:rPr>
                <w:rStyle w:val="Hyperlink"/>
                <w:rFonts w:eastAsiaTheme="minorHAnsi" w:cs="Times New Roman"/>
                <w:b w:val="0"/>
                <w:bCs w:val="0"/>
                <w:lang w:val="es-MX"/>
              </w:rPr>
              <w:t>Plan de Acción Encuesta de Comunicación y Liderazgo</w:t>
            </w:r>
            <w:r w:rsidRPr="00232EBB">
              <w:rPr>
                <w:rStyle w:val="Hyperlink"/>
                <w:rFonts w:eastAsiaTheme="minorHAnsi" w:cs="Times New Roman"/>
                <w:webHidden/>
                <w:lang w:val="es-MX"/>
              </w:rPr>
              <w:tab/>
            </w:r>
            <w:r w:rsidRPr="00232EBB">
              <w:rPr>
                <w:rStyle w:val="Hyperlink"/>
                <w:rFonts w:eastAsiaTheme="minorHAnsi" w:cs="Times New Roman"/>
                <w:webHidden/>
                <w:lang w:val="es-MX"/>
              </w:rPr>
              <w:fldChar w:fldCharType="begin"/>
            </w:r>
            <w:r w:rsidRPr="00232EBB">
              <w:rPr>
                <w:rStyle w:val="Hyperlink"/>
                <w:rFonts w:eastAsiaTheme="minorHAnsi" w:cs="Times New Roman"/>
                <w:webHidden/>
                <w:lang w:val="es-MX"/>
              </w:rPr>
              <w:instrText xml:space="preserve"> PAGEREF _Toc216952234 \h </w:instrText>
            </w:r>
            <w:r w:rsidRPr="00232EBB">
              <w:rPr>
                <w:rStyle w:val="Hyperlink"/>
                <w:rFonts w:eastAsiaTheme="minorHAnsi" w:cs="Times New Roman"/>
                <w:webHidden/>
                <w:lang w:val="es-MX"/>
              </w:rPr>
            </w:r>
            <w:r w:rsidRPr="00232EBB">
              <w:rPr>
                <w:rStyle w:val="Hyperlink"/>
                <w:rFonts w:eastAsiaTheme="minorHAnsi" w:cs="Times New Roman"/>
                <w:webHidden/>
                <w:lang w:val="es-MX"/>
              </w:rPr>
              <w:fldChar w:fldCharType="separate"/>
            </w:r>
            <w:r w:rsidR="004622C5">
              <w:rPr>
                <w:rStyle w:val="Hyperlink"/>
                <w:rFonts w:eastAsiaTheme="minorHAnsi" w:cs="Times New Roman"/>
                <w:webHidden/>
                <w:lang w:val="es-MX"/>
              </w:rPr>
              <w:t>72</w:t>
            </w:r>
            <w:r w:rsidRPr="00232EBB">
              <w:rPr>
                <w:rStyle w:val="Hyperlink"/>
                <w:rFonts w:eastAsiaTheme="minorHAnsi" w:cs="Times New Roman"/>
                <w:webHidden/>
                <w:lang w:val="es-MX"/>
              </w:rPr>
              <w:fldChar w:fldCharType="end"/>
            </w:r>
          </w:hyperlink>
        </w:p>
        <w:p w14:paraId="43DA85AF" w14:textId="26B00CC5"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35" w:history="1">
            <w:r w:rsidRPr="00232EBB">
              <w:rPr>
                <w:rStyle w:val="Hyperlink"/>
                <w:rFonts w:cs="Times New Roman"/>
                <w:b w:val="0"/>
                <w:bCs w:val="0"/>
                <w:lang w:val="es-MX"/>
              </w:rPr>
              <w:t>Capacitación y Adiestramiento TSS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_Toc216952235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72</w:t>
            </w:r>
            <w:r w:rsidRPr="00232EBB">
              <w:rPr>
                <w:rFonts w:cs="Times New Roman"/>
                <w:b w:val="0"/>
                <w:bCs w:val="0"/>
                <w:webHidden/>
              </w:rPr>
              <w:fldChar w:fldCharType="end"/>
            </w:r>
          </w:hyperlink>
        </w:p>
        <w:p w14:paraId="31476E61" w14:textId="0EAAEDBC" w:rsidR="004C50A7" w:rsidRPr="00232EBB" w:rsidRDefault="004C50A7" w:rsidP="00A24B7D">
          <w:pPr>
            <w:pStyle w:val="TOC1"/>
            <w:jc w:val="both"/>
            <w:rPr>
              <w:rStyle w:val="Hyperlink"/>
              <w:rFonts w:eastAsiaTheme="minorHAnsi" w:cs="Times New Roman"/>
              <w:lang w:val="es-MX"/>
            </w:rPr>
          </w:pPr>
          <w:hyperlink w:anchor="_Toc216952236" w:history="1">
            <w:r w:rsidRPr="00232EBB">
              <w:rPr>
                <w:rStyle w:val="Hyperlink"/>
                <w:rFonts w:eastAsiaTheme="minorHAnsi" w:cs="Times New Roman"/>
                <w:b w:val="0"/>
                <w:bCs w:val="0"/>
                <w:lang w:val="es-MX"/>
              </w:rPr>
              <w:t>Capacitaciones Impartidas por Grupo Ocupacional</w:t>
            </w:r>
            <w:r w:rsidRPr="00232EBB">
              <w:rPr>
                <w:rStyle w:val="Hyperlink"/>
                <w:rFonts w:eastAsiaTheme="minorHAnsi" w:cs="Times New Roman"/>
                <w:webHidden/>
                <w:lang w:val="es-MX"/>
              </w:rPr>
              <w:tab/>
            </w:r>
            <w:r w:rsidRPr="00232EBB">
              <w:rPr>
                <w:rStyle w:val="Hyperlink"/>
                <w:rFonts w:eastAsiaTheme="minorHAnsi" w:cs="Times New Roman"/>
                <w:webHidden/>
                <w:lang w:val="es-MX"/>
              </w:rPr>
              <w:fldChar w:fldCharType="begin"/>
            </w:r>
            <w:r w:rsidRPr="00232EBB">
              <w:rPr>
                <w:rStyle w:val="Hyperlink"/>
                <w:rFonts w:eastAsiaTheme="minorHAnsi" w:cs="Times New Roman"/>
                <w:webHidden/>
                <w:lang w:val="es-MX"/>
              </w:rPr>
              <w:instrText xml:space="preserve"> PAGEREF _Toc216952236 \h </w:instrText>
            </w:r>
            <w:r w:rsidRPr="00232EBB">
              <w:rPr>
                <w:rStyle w:val="Hyperlink"/>
                <w:rFonts w:eastAsiaTheme="minorHAnsi" w:cs="Times New Roman"/>
                <w:webHidden/>
                <w:lang w:val="es-MX"/>
              </w:rPr>
            </w:r>
            <w:r w:rsidRPr="00232EBB">
              <w:rPr>
                <w:rStyle w:val="Hyperlink"/>
                <w:rFonts w:eastAsiaTheme="minorHAnsi" w:cs="Times New Roman"/>
                <w:webHidden/>
                <w:lang w:val="es-MX"/>
              </w:rPr>
              <w:fldChar w:fldCharType="separate"/>
            </w:r>
            <w:r w:rsidR="004622C5">
              <w:rPr>
                <w:rStyle w:val="Hyperlink"/>
                <w:rFonts w:eastAsiaTheme="minorHAnsi" w:cs="Times New Roman"/>
                <w:webHidden/>
                <w:lang w:val="es-MX"/>
              </w:rPr>
              <w:t>74</w:t>
            </w:r>
            <w:r w:rsidRPr="00232EBB">
              <w:rPr>
                <w:rStyle w:val="Hyperlink"/>
                <w:rFonts w:eastAsiaTheme="minorHAnsi" w:cs="Times New Roman"/>
                <w:webHidden/>
                <w:lang w:val="es-MX"/>
              </w:rPr>
              <w:fldChar w:fldCharType="end"/>
            </w:r>
          </w:hyperlink>
        </w:p>
        <w:p w14:paraId="1C6256FB" w14:textId="1427C023" w:rsidR="004C50A7" w:rsidRPr="00232EBB" w:rsidRDefault="004C50A7" w:rsidP="00A24B7D">
          <w:pPr>
            <w:pStyle w:val="TOC1"/>
            <w:jc w:val="both"/>
            <w:rPr>
              <w:rStyle w:val="Hyperlink"/>
              <w:rFonts w:eastAsiaTheme="minorHAnsi" w:cs="Times New Roman"/>
              <w:lang w:val="es-MX"/>
            </w:rPr>
          </w:pPr>
          <w:hyperlink w:anchor="_Toc216952237" w:history="1">
            <w:r w:rsidRPr="00232EBB">
              <w:rPr>
                <w:rStyle w:val="Hyperlink"/>
                <w:rFonts w:eastAsiaTheme="minorHAnsi" w:cs="Times New Roman"/>
                <w:b w:val="0"/>
                <w:bCs w:val="0"/>
                <w:lang w:val="es-MX"/>
              </w:rPr>
              <w:t>Competencias Blandas y Duras</w:t>
            </w:r>
            <w:r w:rsidRPr="00232EBB">
              <w:rPr>
                <w:rStyle w:val="Hyperlink"/>
                <w:rFonts w:eastAsiaTheme="minorHAnsi" w:cs="Times New Roman"/>
                <w:webHidden/>
                <w:lang w:val="es-MX"/>
              </w:rPr>
              <w:tab/>
            </w:r>
            <w:r w:rsidRPr="00232EBB">
              <w:rPr>
                <w:rStyle w:val="Hyperlink"/>
                <w:rFonts w:eastAsiaTheme="minorHAnsi" w:cs="Times New Roman"/>
                <w:webHidden/>
                <w:lang w:val="es-MX"/>
              </w:rPr>
              <w:fldChar w:fldCharType="begin"/>
            </w:r>
            <w:r w:rsidRPr="00232EBB">
              <w:rPr>
                <w:rStyle w:val="Hyperlink"/>
                <w:rFonts w:eastAsiaTheme="minorHAnsi" w:cs="Times New Roman"/>
                <w:webHidden/>
                <w:lang w:val="es-MX"/>
              </w:rPr>
              <w:instrText xml:space="preserve"> PAGEREF _Toc216952237 \h </w:instrText>
            </w:r>
            <w:r w:rsidRPr="00232EBB">
              <w:rPr>
                <w:rStyle w:val="Hyperlink"/>
                <w:rFonts w:eastAsiaTheme="minorHAnsi" w:cs="Times New Roman"/>
                <w:webHidden/>
                <w:lang w:val="es-MX"/>
              </w:rPr>
            </w:r>
            <w:r w:rsidRPr="00232EBB">
              <w:rPr>
                <w:rStyle w:val="Hyperlink"/>
                <w:rFonts w:eastAsiaTheme="minorHAnsi" w:cs="Times New Roman"/>
                <w:webHidden/>
                <w:lang w:val="es-MX"/>
              </w:rPr>
              <w:fldChar w:fldCharType="separate"/>
            </w:r>
            <w:r w:rsidR="004622C5">
              <w:rPr>
                <w:rStyle w:val="Hyperlink"/>
                <w:rFonts w:eastAsiaTheme="minorHAnsi" w:cs="Times New Roman"/>
                <w:webHidden/>
                <w:lang w:val="es-MX"/>
              </w:rPr>
              <w:t>75</w:t>
            </w:r>
            <w:r w:rsidRPr="00232EBB">
              <w:rPr>
                <w:rStyle w:val="Hyperlink"/>
                <w:rFonts w:eastAsiaTheme="minorHAnsi" w:cs="Times New Roman"/>
                <w:webHidden/>
                <w:lang w:val="es-MX"/>
              </w:rPr>
              <w:fldChar w:fldCharType="end"/>
            </w:r>
          </w:hyperlink>
        </w:p>
        <w:p w14:paraId="03AFA990" w14:textId="0760C921" w:rsidR="004C50A7" w:rsidRPr="00232EBB" w:rsidRDefault="004C50A7" w:rsidP="00A24B7D">
          <w:pPr>
            <w:pStyle w:val="TOC1"/>
            <w:jc w:val="both"/>
            <w:rPr>
              <w:rStyle w:val="Hyperlink"/>
              <w:rFonts w:eastAsiaTheme="minorHAnsi" w:cs="Times New Roman"/>
              <w:lang w:val="es-MX"/>
            </w:rPr>
          </w:pPr>
          <w:hyperlink w:anchor="_Toc216952238" w:history="1">
            <w:r w:rsidRPr="00232EBB">
              <w:rPr>
                <w:rStyle w:val="Hyperlink"/>
                <w:rFonts w:eastAsiaTheme="minorHAnsi" w:cs="Times New Roman"/>
                <w:b w:val="0"/>
                <w:bCs w:val="0"/>
                <w:lang w:val="es-MX"/>
              </w:rPr>
              <w:t>Donación solidaria</w:t>
            </w:r>
            <w:r w:rsidRPr="00232EBB">
              <w:rPr>
                <w:rStyle w:val="Hyperlink"/>
                <w:rFonts w:eastAsiaTheme="minorHAnsi" w:cs="Times New Roman"/>
                <w:webHidden/>
                <w:lang w:val="es-MX"/>
              </w:rPr>
              <w:tab/>
            </w:r>
            <w:r w:rsidRPr="00232EBB">
              <w:rPr>
                <w:rStyle w:val="Hyperlink"/>
                <w:rFonts w:eastAsiaTheme="minorHAnsi" w:cs="Times New Roman"/>
                <w:webHidden/>
                <w:lang w:val="es-MX"/>
              </w:rPr>
              <w:fldChar w:fldCharType="begin"/>
            </w:r>
            <w:r w:rsidRPr="00232EBB">
              <w:rPr>
                <w:rStyle w:val="Hyperlink"/>
                <w:rFonts w:eastAsiaTheme="minorHAnsi" w:cs="Times New Roman"/>
                <w:webHidden/>
                <w:lang w:val="es-MX"/>
              </w:rPr>
              <w:instrText xml:space="preserve"> PAGEREF _Toc216952238 \h </w:instrText>
            </w:r>
            <w:r w:rsidRPr="00232EBB">
              <w:rPr>
                <w:rStyle w:val="Hyperlink"/>
                <w:rFonts w:eastAsiaTheme="minorHAnsi" w:cs="Times New Roman"/>
                <w:webHidden/>
                <w:lang w:val="es-MX"/>
              </w:rPr>
            </w:r>
            <w:r w:rsidRPr="00232EBB">
              <w:rPr>
                <w:rStyle w:val="Hyperlink"/>
                <w:rFonts w:eastAsiaTheme="minorHAnsi" w:cs="Times New Roman"/>
                <w:webHidden/>
                <w:lang w:val="es-MX"/>
              </w:rPr>
              <w:fldChar w:fldCharType="separate"/>
            </w:r>
            <w:r w:rsidR="004622C5">
              <w:rPr>
                <w:rStyle w:val="Hyperlink"/>
                <w:rFonts w:eastAsiaTheme="minorHAnsi" w:cs="Times New Roman"/>
                <w:webHidden/>
                <w:lang w:val="es-MX"/>
              </w:rPr>
              <w:t>76</w:t>
            </w:r>
            <w:r w:rsidRPr="00232EBB">
              <w:rPr>
                <w:rStyle w:val="Hyperlink"/>
                <w:rFonts w:eastAsiaTheme="minorHAnsi" w:cs="Times New Roman"/>
                <w:webHidden/>
                <w:lang w:val="es-MX"/>
              </w:rPr>
              <w:fldChar w:fldCharType="end"/>
            </w:r>
          </w:hyperlink>
        </w:p>
        <w:p w14:paraId="0508ACA4" w14:textId="47AD0EC7" w:rsidR="004C50A7" w:rsidRPr="00232EBB" w:rsidRDefault="004C50A7" w:rsidP="00A24B7D">
          <w:pPr>
            <w:pStyle w:val="TOC1"/>
            <w:jc w:val="both"/>
            <w:rPr>
              <w:rStyle w:val="Hyperlink"/>
              <w:rFonts w:eastAsiaTheme="minorHAnsi" w:cs="Times New Roman"/>
              <w:lang w:val="es-MX"/>
            </w:rPr>
          </w:pPr>
          <w:hyperlink w:anchor="_Toc216952239" w:history="1">
            <w:r w:rsidRPr="00232EBB">
              <w:rPr>
                <w:rStyle w:val="Hyperlink"/>
                <w:rFonts w:eastAsiaTheme="minorHAnsi" w:cs="Times New Roman"/>
                <w:b w:val="0"/>
                <w:bCs w:val="0"/>
                <w:lang w:val="es-MX"/>
              </w:rPr>
              <w:t>Jornada de Donación de Sangre</w:t>
            </w:r>
            <w:r w:rsidRPr="00232EBB">
              <w:rPr>
                <w:rStyle w:val="Hyperlink"/>
                <w:rFonts w:eastAsiaTheme="minorHAnsi" w:cs="Times New Roman"/>
                <w:webHidden/>
                <w:lang w:val="es-MX"/>
              </w:rPr>
              <w:tab/>
            </w:r>
            <w:r w:rsidRPr="00232EBB">
              <w:rPr>
                <w:rStyle w:val="Hyperlink"/>
                <w:rFonts w:eastAsiaTheme="minorHAnsi" w:cs="Times New Roman"/>
                <w:webHidden/>
                <w:lang w:val="es-MX"/>
              </w:rPr>
              <w:fldChar w:fldCharType="begin"/>
            </w:r>
            <w:r w:rsidRPr="00232EBB">
              <w:rPr>
                <w:rStyle w:val="Hyperlink"/>
                <w:rFonts w:eastAsiaTheme="minorHAnsi" w:cs="Times New Roman"/>
                <w:webHidden/>
                <w:lang w:val="es-MX"/>
              </w:rPr>
              <w:instrText xml:space="preserve"> PAGEREF _Toc216952239 \h </w:instrText>
            </w:r>
            <w:r w:rsidRPr="00232EBB">
              <w:rPr>
                <w:rStyle w:val="Hyperlink"/>
                <w:rFonts w:eastAsiaTheme="minorHAnsi" w:cs="Times New Roman"/>
                <w:webHidden/>
                <w:lang w:val="es-MX"/>
              </w:rPr>
            </w:r>
            <w:r w:rsidRPr="00232EBB">
              <w:rPr>
                <w:rStyle w:val="Hyperlink"/>
                <w:rFonts w:eastAsiaTheme="minorHAnsi" w:cs="Times New Roman"/>
                <w:webHidden/>
                <w:lang w:val="es-MX"/>
              </w:rPr>
              <w:fldChar w:fldCharType="separate"/>
            </w:r>
            <w:r w:rsidR="004622C5">
              <w:rPr>
                <w:rStyle w:val="Hyperlink"/>
                <w:rFonts w:eastAsiaTheme="minorHAnsi" w:cs="Times New Roman"/>
                <w:webHidden/>
                <w:lang w:val="es-MX"/>
              </w:rPr>
              <w:t>77</w:t>
            </w:r>
            <w:r w:rsidRPr="00232EBB">
              <w:rPr>
                <w:rStyle w:val="Hyperlink"/>
                <w:rFonts w:eastAsiaTheme="minorHAnsi" w:cs="Times New Roman"/>
                <w:webHidden/>
                <w:lang w:val="es-MX"/>
              </w:rPr>
              <w:fldChar w:fldCharType="end"/>
            </w:r>
          </w:hyperlink>
        </w:p>
        <w:p w14:paraId="38D3D350" w14:textId="4CF9D0E2"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40" w:history="1">
            <w:r w:rsidRPr="00232EBB">
              <w:rPr>
                <w:rStyle w:val="Hyperlink"/>
                <w:rFonts w:cs="Times New Roman"/>
                <w:b w:val="0"/>
                <w:bCs w:val="0"/>
              </w:rPr>
              <w:t>4.3 Desempeño de los Procesos Jurídicos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_Toc216952240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77</w:t>
            </w:r>
            <w:r w:rsidRPr="00232EBB">
              <w:rPr>
                <w:rFonts w:cs="Times New Roman"/>
                <w:b w:val="0"/>
                <w:bCs w:val="0"/>
                <w:webHidden/>
              </w:rPr>
              <w:fldChar w:fldCharType="end"/>
            </w:r>
          </w:hyperlink>
        </w:p>
        <w:p w14:paraId="315E85B2" w14:textId="798BF445"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41" w:history="1">
            <w:r w:rsidRPr="00232EBB">
              <w:rPr>
                <w:rStyle w:val="Hyperlink"/>
                <w:rFonts w:cs="Times New Roman"/>
                <w:b w:val="0"/>
                <w:bCs w:val="0"/>
              </w:rPr>
              <w:t>4.4 Desempeño de la Tecnología</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_Toc216952241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82</w:t>
            </w:r>
            <w:r w:rsidRPr="00232EBB">
              <w:rPr>
                <w:rFonts w:cs="Times New Roman"/>
                <w:b w:val="0"/>
                <w:bCs w:val="0"/>
                <w:webHidden/>
              </w:rPr>
              <w:fldChar w:fldCharType="end"/>
            </w:r>
          </w:hyperlink>
        </w:p>
        <w:p w14:paraId="123BCB25" w14:textId="37C754B6"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42" w:history="1">
            <w:r w:rsidRPr="00232EBB">
              <w:rPr>
                <w:rStyle w:val="Hyperlink"/>
                <w:rFonts w:cs="Times New Roman"/>
                <w:b w:val="0"/>
                <w:bCs w:val="0"/>
              </w:rPr>
              <w:t>Nuevo Módulo de Interoperabilidad y Gestión de Credenciales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_Toc216952242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82</w:t>
            </w:r>
            <w:r w:rsidRPr="00232EBB">
              <w:rPr>
                <w:rFonts w:cs="Times New Roman"/>
                <w:b w:val="0"/>
                <w:bCs w:val="0"/>
                <w:webHidden/>
              </w:rPr>
              <w:fldChar w:fldCharType="end"/>
            </w:r>
          </w:hyperlink>
        </w:p>
        <w:p w14:paraId="1AECF6E0" w14:textId="0B8AFAB5"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43" w:history="1">
            <w:r w:rsidRPr="00232EBB">
              <w:rPr>
                <w:rStyle w:val="Hyperlink"/>
                <w:rFonts w:cs="Times New Roman"/>
                <w:b w:val="0"/>
                <w:bCs w:val="0"/>
              </w:rPr>
              <w:t>Modernización de la Infraestructura Tecnológica</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_Toc216952243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83</w:t>
            </w:r>
            <w:r w:rsidRPr="00232EBB">
              <w:rPr>
                <w:rFonts w:cs="Times New Roman"/>
                <w:b w:val="0"/>
                <w:bCs w:val="0"/>
                <w:webHidden/>
              </w:rPr>
              <w:fldChar w:fldCharType="end"/>
            </w:r>
          </w:hyperlink>
        </w:p>
        <w:p w14:paraId="0FC7BE34" w14:textId="15193CE1"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44" w:history="1">
            <w:r w:rsidRPr="00232EBB">
              <w:rPr>
                <w:rStyle w:val="Hyperlink"/>
                <w:rFonts w:cs="Times New Roman"/>
                <w:b w:val="0"/>
                <w:bCs w:val="0"/>
              </w:rPr>
              <w:t>Mejoras en la Oficina Virtual y el Portal Web</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_Toc216952244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84</w:t>
            </w:r>
            <w:r w:rsidRPr="00232EBB">
              <w:rPr>
                <w:rFonts w:cs="Times New Roman"/>
                <w:b w:val="0"/>
                <w:bCs w:val="0"/>
                <w:webHidden/>
              </w:rPr>
              <w:fldChar w:fldCharType="end"/>
            </w:r>
          </w:hyperlink>
        </w:p>
        <w:p w14:paraId="7CD887A9" w14:textId="59065B94"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45" w:history="1">
            <w:r w:rsidRPr="00232EBB">
              <w:rPr>
                <w:rStyle w:val="Hyperlink"/>
                <w:rFonts w:cs="Times New Roman"/>
                <w:b w:val="0"/>
                <w:bCs w:val="0"/>
              </w:rPr>
              <w:t>Unificación de Canales y Mejora de la Atención al Ciudadano</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_Toc216952245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85</w:t>
            </w:r>
            <w:r w:rsidRPr="00232EBB">
              <w:rPr>
                <w:rFonts w:cs="Times New Roman"/>
                <w:b w:val="0"/>
                <w:bCs w:val="0"/>
                <w:webHidden/>
              </w:rPr>
              <w:fldChar w:fldCharType="end"/>
            </w:r>
          </w:hyperlink>
        </w:p>
        <w:p w14:paraId="19D95622" w14:textId="256D517C"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46" w:history="1">
            <w:r w:rsidRPr="00232EBB">
              <w:rPr>
                <w:rStyle w:val="Hyperlink"/>
                <w:rFonts w:cs="Times New Roman"/>
                <w:b w:val="0"/>
                <w:bCs w:val="0"/>
              </w:rPr>
              <w:t>Implementación de Sistema de Inventario Digital con Código QR</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_Toc216952246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86</w:t>
            </w:r>
            <w:r w:rsidRPr="00232EBB">
              <w:rPr>
                <w:rFonts w:cs="Times New Roman"/>
                <w:b w:val="0"/>
                <w:bCs w:val="0"/>
                <w:webHidden/>
              </w:rPr>
              <w:fldChar w:fldCharType="end"/>
            </w:r>
          </w:hyperlink>
        </w:p>
        <w:p w14:paraId="41CA1405" w14:textId="221198DF"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47" w:history="1">
            <w:r w:rsidRPr="00232EBB">
              <w:rPr>
                <w:rStyle w:val="Hyperlink"/>
                <w:rFonts w:cs="Times New Roman"/>
                <w:b w:val="0"/>
                <w:bCs w:val="0"/>
              </w:rPr>
              <w:t>Desarrollo De Aplicaciones Internas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_Toc216952247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86</w:t>
            </w:r>
            <w:r w:rsidRPr="00232EBB">
              <w:rPr>
                <w:rFonts w:cs="Times New Roman"/>
                <w:b w:val="0"/>
                <w:bCs w:val="0"/>
                <w:webHidden/>
              </w:rPr>
              <w:fldChar w:fldCharType="end"/>
            </w:r>
          </w:hyperlink>
        </w:p>
        <w:p w14:paraId="006ECA1A" w14:textId="78234DAA"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48" w:history="1">
            <w:r w:rsidRPr="00232EBB">
              <w:rPr>
                <w:rStyle w:val="Hyperlink"/>
                <w:rFonts w:cs="Times New Roman"/>
                <w:b w:val="0"/>
                <w:bCs w:val="0"/>
              </w:rPr>
              <w:t>Estadísticas de Desempeño de los procesos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_Toc216952248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87</w:t>
            </w:r>
            <w:r w:rsidRPr="00232EBB">
              <w:rPr>
                <w:rFonts w:cs="Times New Roman"/>
                <w:b w:val="0"/>
                <w:bCs w:val="0"/>
                <w:webHidden/>
              </w:rPr>
              <w:fldChar w:fldCharType="end"/>
            </w:r>
          </w:hyperlink>
        </w:p>
        <w:p w14:paraId="354C0975" w14:textId="057B5011"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49" w:history="1">
            <w:r w:rsidRPr="00232EBB">
              <w:rPr>
                <w:rStyle w:val="Hyperlink"/>
                <w:rFonts w:cs="Times New Roman"/>
                <w:b w:val="0"/>
                <w:bCs w:val="0"/>
              </w:rPr>
              <w:t>Replicación de Ambientes y Procesos de Pruebas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_Toc216952249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87</w:t>
            </w:r>
            <w:r w:rsidRPr="00232EBB">
              <w:rPr>
                <w:rFonts w:cs="Times New Roman"/>
                <w:b w:val="0"/>
                <w:bCs w:val="0"/>
                <w:webHidden/>
              </w:rPr>
              <w:fldChar w:fldCharType="end"/>
            </w:r>
          </w:hyperlink>
        </w:p>
        <w:p w14:paraId="4113A852" w14:textId="38EBE25C"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50" w:history="1">
            <w:r w:rsidRPr="00232EBB">
              <w:rPr>
                <w:rStyle w:val="Hyperlink"/>
                <w:rFonts w:cs="Times New Roman"/>
                <w:b w:val="0"/>
                <w:bCs w:val="0"/>
              </w:rPr>
              <w:t>Nuevos Servicios en Línea</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_Toc216952250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87</w:t>
            </w:r>
            <w:r w:rsidRPr="00232EBB">
              <w:rPr>
                <w:rFonts w:cs="Times New Roman"/>
                <w:b w:val="0"/>
                <w:bCs w:val="0"/>
                <w:webHidden/>
              </w:rPr>
              <w:fldChar w:fldCharType="end"/>
            </w:r>
          </w:hyperlink>
        </w:p>
        <w:p w14:paraId="2A2D1676" w14:textId="5DA57DC5"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51" w:history="1">
            <w:r w:rsidRPr="00232EBB">
              <w:rPr>
                <w:rStyle w:val="Hyperlink"/>
                <w:rFonts w:cs="Times New Roman"/>
                <w:b w:val="0"/>
                <w:bCs w:val="0"/>
              </w:rPr>
              <w:t>10. Análisis Estadístico y Gestión de Información Institucional</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_Toc216952251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88</w:t>
            </w:r>
            <w:r w:rsidRPr="00232EBB">
              <w:rPr>
                <w:rFonts w:cs="Times New Roman"/>
                <w:b w:val="0"/>
                <w:bCs w:val="0"/>
                <w:webHidden/>
              </w:rPr>
              <w:fldChar w:fldCharType="end"/>
            </w:r>
          </w:hyperlink>
        </w:p>
        <w:p w14:paraId="1EC385BC" w14:textId="3AAAD144"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52" w:history="1">
            <w:r w:rsidRPr="00232EBB">
              <w:rPr>
                <w:rStyle w:val="Hyperlink"/>
                <w:rFonts w:cs="Times New Roman"/>
                <w:b w:val="0"/>
                <w:bCs w:val="0"/>
              </w:rPr>
              <w:t>Resultados obtenidos en el Índice de Uso de TIC e Implementación de Gobierno Electrónico (ITICGE) durante el año y justificación en caso de incumplimiento.</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_Toc216952252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89</w:t>
            </w:r>
            <w:r w:rsidRPr="00232EBB">
              <w:rPr>
                <w:rFonts w:cs="Times New Roman"/>
                <w:b w:val="0"/>
                <w:bCs w:val="0"/>
                <w:webHidden/>
              </w:rPr>
              <w:fldChar w:fldCharType="end"/>
            </w:r>
          </w:hyperlink>
        </w:p>
        <w:p w14:paraId="4DEE411B" w14:textId="767C02CA"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53" w:history="1">
            <w:r w:rsidRPr="00232EBB">
              <w:rPr>
                <w:rStyle w:val="Hyperlink"/>
                <w:rFonts w:eastAsia="Calibri" w:cs="Times New Roman"/>
                <w:b w:val="0"/>
                <w:bCs w:val="0"/>
                <w:lang w:val="es-ES"/>
              </w:rPr>
              <w:t>Departamento de Ciberseguridad</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_Toc216952253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93</w:t>
            </w:r>
            <w:r w:rsidRPr="00232EBB">
              <w:rPr>
                <w:rFonts w:cs="Times New Roman"/>
                <w:b w:val="0"/>
                <w:bCs w:val="0"/>
                <w:webHidden/>
              </w:rPr>
              <w:fldChar w:fldCharType="end"/>
            </w:r>
          </w:hyperlink>
        </w:p>
        <w:p w14:paraId="48449169" w14:textId="787834AB"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54" w:history="1">
            <w:r w:rsidRPr="00232EBB">
              <w:rPr>
                <w:rStyle w:val="Hyperlink"/>
                <w:rFonts w:eastAsia="Calibri" w:cs="Times New Roman"/>
                <w:b w:val="0"/>
                <w:bCs w:val="0"/>
                <w:lang w:val="es-ES"/>
              </w:rPr>
              <w:t>Dicho plan tuvo como objetivos específicos: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_Toc216952254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94</w:t>
            </w:r>
            <w:r w:rsidRPr="00232EBB">
              <w:rPr>
                <w:rFonts w:cs="Times New Roman"/>
                <w:b w:val="0"/>
                <w:bCs w:val="0"/>
                <w:webHidden/>
              </w:rPr>
              <w:fldChar w:fldCharType="end"/>
            </w:r>
          </w:hyperlink>
        </w:p>
        <w:p w14:paraId="098B3281" w14:textId="52D1AAE7"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55" w:history="1">
            <w:r w:rsidRPr="00232EBB">
              <w:rPr>
                <w:rStyle w:val="Hyperlink"/>
                <w:rFonts w:cs="Times New Roman"/>
                <w:b w:val="0"/>
                <w:bCs w:val="0"/>
              </w:rPr>
              <w:t>Fase 1. Situación Actual</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_Toc216952255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95</w:t>
            </w:r>
            <w:r w:rsidRPr="00232EBB">
              <w:rPr>
                <w:rFonts w:cs="Times New Roman"/>
                <w:b w:val="0"/>
                <w:bCs w:val="0"/>
                <w:webHidden/>
              </w:rPr>
              <w:fldChar w:fldCharType="end"/>
            </w:r>
          </w:hyperlink>
        </w:p>
        <w:p w14:paraId="3C1D2BAC" w14:textId="310F982C"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56" w:history="1">
            <w:r w:rsidRPr="00232EBB">
              <w:rPr>
                <w:rStyle w:val="Hyperlink"/>
                <w:rFonts w:cs="Times New Roman"/>
                <w:b w:val="0"/>
                <w:bCs w:val="0"/>
              </w:rPr>
              <w:t>Fase 2. Situación Deseada</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_Toc216952256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95</w:t>
            </w:r>
            <w:r w:rsidRPr="00232EBB">
              <w:rPr>
                <w:rFonts w:cs="Times New Roman"/>
                <w:b w:val="0"/>
                <w:bCs w:val="0"/>
                <w:webHidden/>
              </w:rPr>
              <w:fldChar w:fldCharType="end"/>
            </w:r>
          </w:hyperlink>
        </w:p>
        <w:p w14:paraId="462130CA" w14:textId="4225D018"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57" w:history="1">
            <w:r w:rsidRPr="00232EBB">
              <w:rPr>
                <w:rStyle w:val="Hyperlink"/>
                <w:rFonts w:cs="Times New Roman"/>
                <w:b w:val="0"/>
                <w:bCs w:val="0"/>
              </w:rPr>
              <w:t>Fase 3. Plan Estratégico</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_Toc216952257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96</w:t>
            </w:r>
            <w:r w:rsidRPr="00232EBB">
              <w:rPr>
                <w:rFonts w:cs="Times New Roman"/>
                <w:b w:val="0"/>
                <w:bCs w:val="0"/>
                <w:webHidden/>
              </w:rPr>
              <w:fldChar w:fldCharType="end"/>
            </w:r>
          </w:hyperlink>
        </w:p>
        <w:p w14:paraId="02597DEB" w14:textId="6C928ABF"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58" w:history="1">
            <w:r w:rsidRPr="00232EBB">
              <w:rPr>
                <w:rStyle w:val="Hyperlink"/>
                <w:rFonts w:cs="Times New Roman"/>
                <w:b w:val="0"/>
                <w:bCs w:val="0"/>
              </w:rPr>
              <w:t>Departamento de Gestión Integral de Riesgos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_Toc216952258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96</w:t>
            </w:r>
            <w:r w:rsidRPr="00232EBB">
              <w:rPr>
                <w:rFonts w:cs="Times New Roman"/>
                <w:b w:val="0"/>
                <w:bCs w:val="0"/>
                <w:webHidden/>
              </w:rPr>
              <w:fldChar w:fldCharType="end"/>
            </w:r>
          </w:hyperlink>
        </w:p>
        <w:p w14:paraId="3E404D41" w14:textId="09B307B7"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59" w:history="1">
            <w:r w:rsidRPr="00232EBB">
              <w:rPr>
                <w:rStyle w:val="Hyperlink"/>
                <w:rFonts w:cs="Times New Roman"/>
                <w:b w:val="0"/>
                <w:bCs w:val="0"/>
              </w:rPr>
              <w:t>Visión 360°: La Gestión de Riesgos como Pilar Estratégico</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_Toc216952259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96</w:t>
            </w:r>
            <w:r w:rsidRPr="00232EBB">
              <w:rPr>
                <w:rFonts w:cs="Times New Roman"/>
                <w:b w:val="0"/>
                <w:bCs w:val="0"/>
                <w:webHidden/>
              </w:rPr>
              <w:fldChar w:fldCharType="end"/>
            </w:r>
          </w:hyperlink>
        </w:p>
        <w:p w14:paraId="43E088E3" w14:textId="708A65A1"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60" w:history="1">
            <w:r w:rsidRPr="00232EBB">
              <w:rPr>
                <w:rStyle w:val="Hyperlink"/>
                <w:rFonts w:cs="Times New Roman"/>
                <w:b w:val="0"/>
                <w:bCs w:val="0"/>
              </w:rPr>
              <w:t>I. Consolidación de Metas Anuales (100% de Cumplimiento)</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_Toc216952260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96</w:t>
            </w:r>
            <w:r w:rsidRPr="00232EBB">
              <w:rPr>
                <w:rFonts w:cs="Times New Roman"/>
                <w:b w:val="0"/>
                <w:bCs w:val="0"/>
                <w:webHidden/>
              </w:rPr>
              <w:fldChar w:fldCharType="end"/>
            </w:r>
          </w:hyperlink>
        </w:p>
        <w:p w14:paraId="17F047E1" w14:textId="5D76324B"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61" w:history="1">
            <w:r w:rsidRPr="00232EBB">
              <w:rPr>
                <w:rStyle w:val="Hyperlink"/>
                <w:rFonts w:cs="Times New Roman"/>
                <w:b w:val="0"/>
                <w:bCs w:val="0"/>
              </w:rPr>
              <w:t>II. Innovación y Desarrollo Metodológico</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_Toc216952261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97</w:t>
            </w:r>
            <w:r w:rsidRPr="00232EBB">
              <w:rPr>
                <w:rFonts w:cs="Times New Roman"/>
                <w:b w:val="0"/>
                <w:bCs w:val="0"/>
                <w:webHidden/>
              </w:rPr>
              <w:fldChar w:fldCharType="end"/>
            </w:r>
          </w:hyperlink>
        </w:p>
        <w:p w14:paraId="78024D4A" w14:textId="793F572B"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62" w:history="1">
            <w:r w:rsidRPr="00232EBB">
              <w:rPr>
                <w:rStyle w:val="Hyperlink"/>
                <w:rFonts w:cs="Times New Roman"/>
                <w:b w:val="0"/>
                <w:bCs w:val="0"/>
              </w:rPr>
              <w:t>III. Fortalecimiento del Capital Humano y Enlace Externo</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_Toc216952262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97</w:t>
            </w:r>
            <w:r w:rsidRPr="00232EBB">
              <w:rPr>
                <w:rFonts w:cs="Times New Roman"/>
                <w:b w:val="0"/>
                <w:bCs w:val="0"/>
                <w:webHidden/>
              </w:rPr>
              <w:fldChar w:fldCharType="end"/>
            </w:r>
          </w:hyperlink>
        </w:p>
        <w:p w14:paraId="0B5C05D3" w14:textId="337A2681"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63" w:history="1">
            <w:r w:rsidRPr="00232EBB">
              <w:rPr>
                <w:rStyle w:val="Hyperlink"/>
                <w:rFonts w:cs="Times New Roman"/>
                <w:b w:val="0"/>
                <w:bCs w:val="0"/>
              </w:rPr>
              <w:t>IV. Aseguramiento de la Calidad de la Información</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_Toc216952263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98</w:t>
            </w:r>
            <w:r w:rsidRPr="00232EBB">
              <w:rPr>
                <w:rFonts w:cs="Times New Roman"/>
                <w:b w:val="0"/>
                <w:bCs w:val="0"/>
                <w:webHidden/>
              </w:rPr>
              <w:fldChar w:fldCharType="end"/>
            </w:r>
          </w:hyperlink>
        </w:p>
        <w:p w14:paraId="64581F88" w14:textId="30856CD9"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64" w:history="1">
            <w:r w:rsidRPr="00232EBB">
              <w:rPr>
                <w:rStyle w:val="Hyperlink"/>
                <w:rFonts w:cs="Times New Roman"/>
                <w:b w:val="0"/>
                <w:bCs w:val="0"/>
              </w:rPr>
              <w:t>Resultados de las Normas Básicas de Control Interno (NOBACI) T3.</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_Toc216952264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98</w:t>
            </w:r>
            <w:r w:rsidRPr="00232EBB">
              <w:rPr>
                <w:rFonts w:cs="Times New Roman"/>
                <w:b w:val="0"/>
                <w:bCs w:val="0"/>
                <w:webHidden/>
              </w:rPr>
              <w:fldChar w:fldCharType="end"/>
            </w:r>
          </w:hyperlink>
        </w:p>
        <w:p w14:paraId="23BE80DF" w14:textId="61396B01"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65" w:history="1">
            <w:r w:rsidRPr="00232EBB">
              <w:rPr>
                <w:rStyle w:val="Hyperlink"/>
                <w:rFonts w:cs="Times New Roman"/>
                <w:b w:val="0"/>
                <w:bCs w:val="0"/>
              </w:rPr>
              <w:t>4.5. Desempeño del Sistema de Planificación y Desarrollo Institucional</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_Toc216952265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100</w:t>
            </w:r>
            <w:r w:rsidRPr="00232EBB">
              <w:rPr>
                <w:rFonts w:cs="Times New Roman"/>
                <w:b w:val="0"/>
                <w:bCs w:val="0"/>
                <w:webHidden/>
              </w:rPr>
              <w:fldChar w:fldCharType="end"/>
            </w:r>
          </w:hyperlink>
        </w:p>
        <w:p w14:paraId="5E62A408" w14:textId="6D740D74"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66" w:history="1">
            <w:r w:rsidRPr="00232EBB">
              <w:rPr>
                <w:rStyle w:val="Hyperlink"/>
                <w:rFonts w:cs="Times New Roman"/>
                <w:b w:val="0"/>
                <w:bCs w:val="0"/>
              </w:rPr>
              <w:t>4.6 Desempeño del Área de Comunicaciones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_Toc216952266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110</w:t>
            </w:r>
            <w:r w:rsidRPr="00232EBB">
              <w:rPr>
                <w:rFonts w:cs="Times New Roman"/>
                <w:b w:val="0"/>
                <w:bCs w:val="0"/>
                <w:webHidden/>
              </w:rPr>
              <w:fldChar w:fldCharType="end"/>
            </w:r>
          </w:hyperlink>
        </w:p>
        <w:p w14:paraId="093BA984" w14:textId="4821D3D2"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67" w:history="1">
            <w:r w:rsidRPr="00232EBB">
              <w:rPr>
                <w:rStyle w:val="Hyperlink"/>
                <w:rFonts w:cs="Times New Roman"/>
                <w:b w:val="0"/>
                <w:bCs w:val="0"/>
              </w:rPr>
              <w:t>V. SERVICIO AL CIUDADANO Y TRANSPARENCIA INSTITUCIONAL</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_Toc216952267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115</w:t>
            </w:r>
            <w:r w:rsidRPr="00232EBB">
              <w:rPr>
                <w:rFonts w:cs="Times New Roman"/>
                <w:b w:val="0"/>
                <w:bCs w:val="0"/>
                <w:webHidden/>
              </w:rPr>
              <w:fldChar w:fldCharType="end"/>
            </w:r>
          </w:hyperlink>
        </w:p>
        <w:p w14:paraId="50E2E1ED" w14:textId="153A6959"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68" w:history="1">
            <w:r w:rsidRPr="00232EBB">
              <w:rPr>
                <w:rStyle w:val="Hyperlink"/>
                <w:rFonts w:cs="Times New Roman"/>
                <w:b w:val="0"/>
                <w:bCs w:val="0"/>
              </w:rPr>
              <w:t>5.1 Nivel de la Satisfacción con el Servicio</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_Toc216952268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115</w:t>
            </w:r>
            <w:r w:rsidRPr="00232EBB">
              <w:rPr>
                <w:rFonts w:cs="Times New Roman"/>
                <w:b w:val="0"/>
                <w:bCs w:val="0"/>
                <w:webHidden/>
              </w:rPr>
              <w:fldChar w:fldCharType="end"/>
            </w:r>
          </w:hyperlink>
        </w:p>
        <w:p w14:paraId="2B022B0C" w14:textId="71757716"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69" w:history="1">
            <w:r w:rsidRPr="00232EBB">
              <w:rPr>
                <w:rStyle w:val="Hyperlink"/>
                <w:rFonts w:cs="Times New Roman"/>
                <w:b w:val="0"/>
                <w:bCs w:val="0"/>
              </w:rPr>
              <w:t>Importancia del Servicio</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_Toc216952269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115</w:t>
            </w:r>
            <w:r w:rsidRPr="00232EBB">
              <w:rPr>
                <w:rFonts w:cs="Times New Roman"/>
                <w:b w:val="0"/>
                <w:bCs w:val="0"/>
                <w:webHidden/>
              </w:rPr>
              <w:fldChar w:fldCharType="end"/>
            </w:r>
          </w:hyperlink>
        </w:p>
        <w:p w14:paraId="0D3A3F0F" w14:textId="6F5AFD91"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70" w:history="1">
            <w:r w:rsidRPr="00232EBB">
              <w:rPr>
                <w:rStyle w:val="Hyperlink"/>
                <w:rFonts w:cs="Times New Roman"/>
                <w:b w:val="0"/>
                <w:bCs w:val="0"/>
              </w:rPr>
              <w:t>Actualización de Credenciales de la Tesorería de la Seguridad Social Dominicana</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_Toc216952270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116</w:t>
            </w:r>
            <w:r w:rsidRPr="00232EBB">
              <w:rPr>
                <w:rFonts w:cs="Times New Roman"/>
                <w:b w:val="0"/>
                <w:bCs w:val="0"/>
                <w:webHidden/>
              </w:rPr>
              <w:fldChar w:fldCharType="end"/>
            </w:r>
          </w:hyperlink>
        </w:p>
        <w:p w14:paraId="0E91D1CF" w14:textId="7C656346"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71" w:history="1">
            <w:r w:rsidRPr="00232EBB">
              <w:rPr>
                <w:rStyle w:val="Hyperlink"/>
                <w:rFonts w:cs="Times New Roman"/>
                <w:b w:val="0"/>
                <w:bCs w:val="0"/>
              </w:rPr>
              <w:t>Centro de Asistencia al Usuario.</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_Toc216952271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117</w:t>
            </w:r>
            <w:r w:rsidRPr="00232EBB">
              <w:rPr>
                <w:rFonts w:cs="Times New Roman"/>
                <w:b w:val="0"/>
                <w:bCs w:val="0"/>
                <w:webHidden/>
              </w:rPr>
              <w:fldChar w:fldCharType="end"/>
            </w:r>
          </w:hyperlink>
        </w:p>
        <w:p w14:paraId="0B2A9DE3" w14:textId="4FAB76AB"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72" w:history="1">
            <w:r w:rsidRPr="00232EBB">
              <w:rPr>
                <w:rStyle w:val="Hyperlink"/>
                <w:rFonts w:cs="Times New Roman"/>
                <w:b w:val="0"/>
                <w:bCs w:val="0"/>
              </w:rPr>
              <w:t>5.2 Nivel de Cumplimiento Acceso a la Información</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_Toc216952272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119</w:t>
            </w:r>
            <w:r w:rsidRPr="00232EBB">
              <w:rPr>
                <w:rFonts w:cs="Times New Roman"/>
                <w:b w:val="0"/>
                <w:bCs w:val="0"/>
                <w:webHidden/>
              </w:rPr>
              <w:fldChar w:fldCharType="end"/>
            </w:r>
          </w:hyperlink>
        </w:p>
        <w:p w14:paraId="7CF7BCF7" w14:textId="5B8BEDCA"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73" w:history="1">
            <w:r w:rsidRPr="00232EBB">
              <w:rPr>
                <w:rStyle w:val="Hyperlink"/>
                <w:rFonts w:cs="Times New Roman"/>
                <w:b w:val="0"/>
                <w:bCs w:val="0"/>
              </w:rPr>
              <w:t>5.3 Resultados Sistema de Quejas, Reclamos y Sugerencias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_Toc216952273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122</w:t>
            </w:r>
            <w:r w:rsidRPr="00232EBB">
              <w:rPr>
                <w:rFonts w:cs="Times New Roman"/>
                <w:b w:val="0"/>
                <w:bCs w:val="0"/>
                <w:webHidden/>
              </w:rPr>
              <w:fldChar w:fldCharType="end"/>
            </w:r>
          </w:hyperlink>
        </w:p>
        <w:p w14:paraId="47195614" w14:textId="62CAED65"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74" w:history="1">
            <w:r w:rsidRPr="00232EBB">
              <w:rPr>
                <w:rStyle w:val="Hyperlink"/>
                <w:rFonts w:cs="Times New Roman"/>
                <w:b w:val="0"/>
                <w:bCs w:val="0"/>
              </w:rPr>
              <w:t>5.4 Resultados, Mediciones del Portal de Transparencia</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_Toc216952274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123</w:t>
            </w:r>
            <w:r w:rsidRPr="00232EBB">
              <w:rPr>
                <w:rFonts w:cs="Times New Roman"/>
                <w:b w:val="0"/>
                <w:bCs w:val="0"/>
                <w:webHidden/>
              </w:rPr>
              <w:fldChar w:fldCharType="end"/>
            </w:r>
          </w:hyperlink>
        </w:p>
        <w:p w14:paraId="32080AF8" w14:textId="5214C7A9"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75" w:history="1">
            <w:r w:rsidRPr="00232EBB">
              <w:rPr>
                <w:rStyle w:val="Hyperlink"/>
                <w:rFonts w:cs="Times New Roman"/>
                <w:b w:val="0"/>
                <w:bCs w:val="0"/>
                <w:lang w:val="es-ES"/>
              </w:rPr>
              <w:t>Tabla 29: Capacitaciones impartidas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_Toc216952275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125</w:t>
            </w:r>
            <w:r w:rsidRPr="00232EBB">
              <w:rPr>
                <w:rFonts w:cs="Times New Roman"/>
                <w:b w:val="0"/>
                <w:bCs w:val="0"/>
                <w:webHidden/>
              </w:rPr>
              <w:fldChar w:fldCharType="end"/>
            </w:r>
          </w:hyperlink>
        </w:p>
        <w:p w14:paraId="79998D6E" w14:textId="68BFFAB8"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76" w:history="1">
            <w:r w:rsidRPr="00232EBB">
              <w:rPr>
                <w:rStyle w:val="Hyperlink"/>
                <w:rFonts w:cs="Times New Roman"/>
                <w:b w:val="0"/>
                <w:bCs w:val="0"/>
              </w:rPr>
              <w:t>VI. PROYECCIONES AL PRÓXIMO AÑO</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_Toc216952276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126</w:t>
            </w:r>
            <w:r w:rsidRPr="00232EBB">
              <w:rPr>
                <w:rFonts w:cs="Times New Roman"/>
                <w:b w:val="0"/>
                <w:bCs w:val="0"/>
                <w:webHidden/>
              </w:rPr>
              <w:fldChar w:fldCharType="end"/>
            </w:r>
          </w:hyperlink>
        </w:p>
        <w:p w14:paraId="12D39DCA" w14:textId="7DE2F1EE"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77" w:history="1">
            <w:r w:rsidRPr="00232EBB">
              <w:rPr>
                <w:rStyle w:val="Hyperlink"/>
                <w:rFonts w:cs="Times New Roman"/>
                <w:b w:val="0"/>
                <w:bCs w:val="0"/>
              </w:rPr>
              <w:t>Memoria Institucional 2025</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_Toc216952277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126</w:t>
            </w:r>
            <w:r w:rsidRPr="00232EBB">
              <w:rPr>
                <w:rFonts w:cs="Times New Roman"/>
                <w:b w:val="0"/>
                <w:bCs w:val="0"/>
                <w:webHidden/>
              </w:rPr>
              <w:fldChar w:fldCharType="end"/>
            </w:r>
          </w:hyperlink>
        </w:p>
        <w:p w14:paraId="5B59065A" w14:textId="6512BE9D"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78" w:history="1">
            <w:r w:rsidRPr="00232EBB">
              <w:rPr>
                <w:rStyle w:val="Hyperlink"/>
                <w:rFonts w:cs="Times New Roman"/>
                <w:b w:val="0"/>
                <w:bCs w:val="0"/>
              </w:rPr>
              <w:t>VII. ANEXOS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_Toc216952278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127</w:t>
            </w:r>
            <w:r w:rsidRPr="00232EBB">
              <w:rPr>
                <w:rFonts w:cs="Times New Roman"/>
                <w:b w:val="0"/>
                <w:bCs w:val="0"/>
                <w:webHidden/>
              </w:rPr>
              <w:fldChar w:fldCharType="end"/>
            </w:r>
          </w:hyperlink>
        </w:p>
        <w:p w14:paraId="01559ED7" w14:textId="52128C01"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79" w:history="1">
            <w:r w:rsidRPr="00232EBB">
              <w:rPr>
                <w:rStyle w:val="Hyperlink"/>
                <w:rFonts w:cs="Times New Roman"/>
                <w:b w:val="0"/>
                <w:bCs w:val="0"/>
              </w:rPr>
              <w:t>7.1 Anexo 1: Matriz Logros Relevantes – Datos Cuantitativos (RD$)</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_Toc216952279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127</w:t>
            </w:r>
            <w:r w:rsidRPr="00232EBB">
              <w:rPr>
                <w:rFonts w:cs="Times New Roman"/>
                <w:b w:val="0"/>
                <w:bCs w:val="0"/>
                <w:webHidden/>
              </w:rPr>
              <w:fldChar w:fldCharType="end"/>
            </w:r>
          </w:hyperlink>
        </w:p>
        <w:p w14:paraId="4CBB400C" w14:textId="719175E1"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80" w:history="1">
            <w:r w:rsidRPr="00232EBB">
              <w:rPr>
                <w:rStyle w:val="Hyperlink"/>
                <w:rFonts w:cs="Times New Roman"/>
                <w:b w:val="0"/>
                <w:bCs w:val="0"/>
              </w:rPr>
              <w:t>7.1 Anexo 1: Matriz Logros Relevantes – Datos Cuantitativos (RD$)</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_Toc216952280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128</w:t>
            </w:r>
            <w:r w:rsidRPr="00232EBB">
              <w:rPr>
                <w:rFonts w:cs="Times New Roman"/>
                <w:b w:val="0"/>
                <w:bCs w:val="0"/>
                <w:webHidden/>
              </w:rPr>
              <w:fldChar w:fldCharType="end"/>
            </w:r>
          </w:hyperlink>
        </w:p>
        <w:p w14:paraId="4694F110" w14:textId="4436E3E1"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81" w:history="1">
            <w:r w:rsidRPr="00232EBB">
              <w:rPr>
                <w:rStyle w:val="Hyperlink"/>
                <w:rFonts w:cs="Times New Roman"/>
                <w:b w:val="0"/>
                <w:bCs w:val="0"/>
              </w:rPr>
              <w:t>7.2 Anexo 2: Matriz de los Principales Indicadores de la Gestión por Procesos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_Toc216952281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129</w:t>
            </w:r>
            <w:r w:rsidRPr="00232EBB">
              <w:rPr>
                <w:rFonts w:cs="Times New Roman"/>
                <w:b w:val="0"/>
                <w:bCs w:val="0"/>
                <w:webHidden/>
              </w:rPr>
              <w:fldChar w:fldCharType="end"/>
            </w:r>
          </w:hyperlink>
        </w:p>
        <w:p w14:paraId="5AF0DCE9" w14:textId="58DDC96F"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82" w:history="1">
            <w:r w:rsidRPr="00232EBB">
              <w:rPr>
                <w:rStyle w:val="Hyperlink"/>
                <w:rFonts w:cs="Times New Roman"/>
                <w:b w:val="0"/>
                <w:bCs w:val="0"/>
              </w:rPr>
              <w:t>7.3 Anexo 3: Matriz Índice de Gestión Presupuestaria Anual (IGP)</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_Toc216952282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130</w:t>
            </w:r>
            <w:r w:rsidRPr="00232EBB">
              <w:rPr>
                <w:rFonts w:cs="Times New Roman"/>
                <w:b w:val="0"/>
                <w:bCs w:val="0"/>
                <w:webHidden/>
              </w:rPr>
              <w:fldChar w:fldCharType="end"/>
            </w:r>
          </w:hyperlink>
        </w:p>
        <w:p w14:paraId="6557B846" w14:textId="501AB588" w:rsidR="004C50A7" w:rsidRPr="00232EBB" w:rsidRDefault="004C50A7" w:rsidP="00A24B7D">
          <w:pPr>
            <w:pStyle w:val="TOC1"/>
            <w:jc w:val="both"/>
            <w:rPr>
              <w:rFonts w:eastAsiaTheme="minorEastAsia" w:cs="Times New Roman"/>
              <w:b w:val="0"/>
              <w:bCs w:val="0"/>
              <w:color w:val="auto"/>
              <w:spacing w:val="0"/>
              <w:kern w:val="2"/>
              <w:lang w:val="en-US"/>
              <w14:ligatures w14:val="standardContextual"/>
            </w:rPr>
          </w:pPr>
          <w:hyperlink w:anchor="_Toc216952283" w:history="1">
            <w:r w:rsidRPr="00232EBB">
              <w:rPr>
                <w:rStyle w:val="Hyperlink"/>
                <w:rFonts w:cs="Times New Roman"/>
                <w:b w:val="0"/>
                <w:bCs w:val="0"/>
              </w:rPr>
              <w:t>7.4 Anexo 4: Matriz Ejecución Presupuestaria por Objeto del Gasto</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_Toc216952283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131</w:t>
            </w:r>
            <w:r w:rsidRPr="00232EBB">
              <w:rPr>
                <w:rFonts w:cs="Times New Roman"/>
                <w:b w:val="0"/>
                <w:bCs w:val="0"/>
                <w:webHidden/>
              </w:rPr>
              <w:fldChar w:fldCharType="end"/>
            </w:r>
          </w:hyperlink>
        </w:p>
        <w:p w14:paraId="4242FE2D" w14:textId="0E723851" w:rsidR="001240D0" w:rsidRPr="00232EBB" w:rsidRDefault="004C50A7" w:rsidP="00A24B7D">
          <w:pPr>
            <w:pStyle w:val="TOC1"/>
            <w:jc w:val="both"/>
            <w:rPr>
              <w:rFonts w:cs="Times New Roman"/>
              <w:b w:val="0"/>
              <w:bCs w:val="0"/>
              <w:noProof w:val="0"/>
              <w:color w:val="4C4747"/>
              <w:lang w:val="en-US"/>
            </w:rPr>
          </w:pPr>
          <w:hyperlink w:anchor="_Toc216952284" w:history="1">
            <w:r w:rsidRPr="00232EBB">
              <w:rPr>
                <w:rStyle w:val="Hyperlink"/>
                <w:rFonts w:cs="Times New Roman"/>
                <w:b w:val="0"/>
                <w:bCs w:val="0"/>
              </w:rPr>
              <w:t>7.5 Anexo 5: Resumen Plan Anual de Compras</w:t>
            </w:r>
            <w:r w:rsidRPr="00232EBB">
              <w:rPr>
                <w:rFonts w:cs="Times New Roman"/>
                <w:b w:val="0"/>
                <w:bCs w:val="0"/>
                <w:webHidden/>
              </w:rPr>
              <w:tab/>
            </w:r>
            <w:r w:rsidRPr="00232EBB">
              <w:rPr>
                <w:rFonts w:cs="Times New Roman"/>
                <w:b w:val="0"/>
                <w:bCs w:val="0"/>
                <w:webHidden/>
              </w:rPr>
              <w:fldChar w:fldCharType="begin"/>
            </w:r>
            <w:r w:rsidRPr="00232EBB">
              <w:rPr>
                <w:rFonts w:cs="Times New Roman"/>
                <w:b w:val="0"/>
                <w:bCs w:val="0"/>
                <w:webHidden/>
              </w:rPr>
              <w:instrText xml:space="preserve"> PAGEREF _Toc216952284 \h </w:instrText>
            </w:r>
            <w:r w:rsidRPr="00232EBB">
              <w:rPr>
                <w:rFonts w:cs="Times New Roman"/>
                <w:b w:val="0"/>
                <w:bCs w:val="0"/>
                <w:webHidden/>
              </w:rPr>
            </w:r>
            <w:r w:rsidRPr="00232EBB">
              <w:rPr>
                <w:rFonts w:cs="Times New Roman"/>
                <w:b w:val="0"/>
                <w:bCs w:val="0"/>
                <w:webHidden/>
              </w:rPr>
              <w:fldChar w:fldCharType="separate"/>
            </w:r>
            <w:r w:rsidR="004622C5">
              <w:rPr>
                <w:rFonts w:cs="Times New Roman"/>
                <w:b w:val="0"/>
                <w:bCs w:val="0"/>
                <w:webHidden/>
              </w:rPr>
              <w:t>132</w:t>
            </w:r>
            <w:r w:rsidRPr="00232EBB">
              <w:rPr>
                <w:rFonts w:cs="Times New Roman"/>
                <w:b w:val="0"/>
                <w:bCs w:val="0"/>
                <w:webHidden/>
              </w:rPr>
              <w:fldChar w:fldCharType="end"/>
            </w:r>
          </w:hyperlink>
          <w:r w:rsidR="00A630BC" w:rsidRPr="00232EBB">
            <w:rPr>
              <w:rFonts w:cs="Times New Roman"/>
              <w:b w:val="0"/>
              <w:bCs w:val="0"/>
              <w:color w:val="4C4747"/>
            </w:rPr>
            <w:fldChar w:fldCharType="end"/>
          </w:r>
        </w:p>
      </w:sdtContent>
    </w:sdt>
    <w:bookmarkStart w:id="2" w:name="_Toc154736671"/>
    <w:bookmarkStart w:id="3" w:name="_Toc216952199"/>
    <w:p w14:paraId="1AABEC87" w14:textId="77777777" w:rsidR="000946F8" w:rsidRPr="00232EBB" w:rsidRDefault="000946F8" w:rsidP="000946F8">
      <w:pPr>
        <w:pStyle w:val="Heading1"/>
        <w:spacing w:after="240"/>
        <w:rPr>
          <w:rFonts w:cs="Times New Roman"/>
          <w:b w:val="0"/>
          <w:lang w:val="es-ES"/>
        </w:rPr>
      </w:pPr>
      <w:r w:rsidRPr="00232EBB">
        <w:rPr>
          <w:rFonts w:eastAsia="Calibri" w:cs="Times New Roman"/>
          <w:noProof/>
          <w:color w:val="767171"/>
          <w:sz w:val="18"/>
          <w:lang w:val="es-DO" w:eastAsia="es-DO"/>
        </w:rPr>
        <w:lastRenderedPageBreak/>
        <mc:AlternateContent>
          <mc:Choice Requires="wps">
            <w:drawing>
              <wp:anchor distT="0" distB="0" distL="114300" distR="114300" simplePos="0" relativeHeight="251658259" behindDoc="0" locked="0" layoutInCell="1" allowOverlap="1" wp14:anchorId="612B1DF3" wp14:editId="4E28EBC3">
                <wp:simplePos x="0" y="0"/>
                <wp:positionH relativeFrom="margin">
                  <wp:align>center</wp:align>
                </wp:positionH>
                <wp:positionV relativeFrom="paragraph">
                  <wp:posOffset>372745</wp:posOffset>
                </wp:positionV>
                <wp:extent cx="463550" cy="0"/>
                <wp:effectExtent l="0" t="19050" r="31750" b="19050"/>
                <wp:wrapNone/>
                <wp:docPr id="991846603" name="Straight Connector 9918466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3550" cy="0"/>
                        </a:xfrm>
                        <a:prstGeom prst="line">
                          <a:avLst/>
                        </a:prstGeom>
                        <a:noFill/>
                        <a:ln w="28575" algn="ctr">
                          <a:solidFill>
                            <a:srgbClr val="EE2A24"/>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269131F7">
              <v:line id="Straight Connector 991846603" style="position:absolute;z-index:2517268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o:spid="_x0000_s1026" strokecolor="#ee2a24" strokeweight="2.25pt" from="0,29.35pt" to="36.5pt,29.35pt" w14:anchorId="344D3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">
                <v:stroke joinstyle="miter"/>
                <w10:wrap anchorx="margin"/>
              </v:line>
            </w:pict>
          </mc:Fallback>
        </mc:AlternateContent>
      </w:r>
      <w:r w:rsidRPr="00232EBB">
        <w:rPr>
          <w:rFonts w:cs="Times New Roman"/>
          <w:lang w:val="es-ES"/>
        </w:rPr>
        <w:t>PRESENTACIÓN</w:t>
      </w:r>
      <w:bookmarkEnd w:id="2"/>
      <w:bookmarkEnd w:id="3"/>
      <w:r w:rsidRPr="00232EBB">
        <w:rPr>
          <w:rFonts w:cs="Times New Roman"/>
          <w:lang w:val="es-ES"/>
        </w:rPr>
        <w:t xml:space="preserve"> </w:t>
      </w:r>
    </w:p>
    <w:p w14:paraId="509DC471" w14:textId="3E338A6D" w:rsidR="000946F8" w:rsidRPr="00232EBB" w:rsidRDefault="000946F8" w:rsidP="000946F8">
      <w:pPr>
        <w:jc w:val="center"/>
        <w:rPr>
          <w:lang w:val="es-DO"/>
        </w:rPr>
      </w:pPr>
      <w:r w:rsidRPr="00232EBB">
        <w:rPr>
          <w:lang w:val="es-DO"/>
        </w:rPr>
        <w:t>Memoria Institucional 202</w:t>
      </w:r>
      <w:r w:rsidR="00B278C4" w:rsidRPr="00232EBB">
        <w:rPr>
          <w:lang w:val="es-DO"/>
        </w:rPr>
        <w:t>5</w:t>
      </w:r>
    </w:p>
    <w:p w14:paraId="47C0DB0B" w14:textId="77777777" w:rsidR="00FE325A" w:rsidRPr="00232EBB" w:rsidRDefault="00FE325A" w:rsidP="000946F8">
      <w:pPr>
        <w:jc w:val="center"/>
        <w:rPr>
          <w:lang w:val="es-DO"/>
        </w:rPr>
      </w:pPr>
    </w:p>
    <w:p w14:paraId="4F86153E" w14:textId="205C0645" w:rsidR="000946F8" w:rsidRPr="00232EBB" w:rsidRDefault="000946F8" w:rsidP="00FE325A">
      <w:pPr>
        <w:spacing w:line="360" w:lineRule="auto"/>
        <w:jc w:val="both"/>
        <w:rPr>
          <w:rFonts w:eastAsia="Calibri"/>
          <w:noProof/>
          <w:lang w:val="es-DO"/>
        </w:rPr>
      </w:pPr>
      <w:r w:rsidRPr="00232EBB">
        <w:rPr>
          <w:rFonts w:eastAsia="Calibri"/>
          <w:noProof/>
          <w:lang w:val="es-DO"/>
        </w:rPr>
        <w:t>A través de la siguiente memoria, se realiza un recorrido por los logros, desafíos y avances significativos que ha presentado la Tesorería de la Seguridad Social (TSS) durante el año 202</w:t>
      </w:r>
      <w:r w:rsidR="00B278C4" w:rsidRPr="00232EBB">
        <w:rPr>
          <w:rFonts w:eastAsia="Calibri"/>
          <w:noProof/>
          <w:lang w:val="es-DO"/>
        </w:rPr>
        <w:t>5</w:t>
      </w:r>
      <w:r w:rsidRPr="00232EBB">
        <w:rPr>
          <w:rFonts w:eastAsia="Calibri"/>
          <w:noProof/>
          <w:lang w:val="es-DO"/>
        </w:rPr>
        <w:t>, como la institución responsable de administrar el Sistema Único de Información y Recaudo (SUIR), la distribución y pago de los recursos del Sistema Dominicano de Seguridad Social (SDSS).</w:t>
      </w:r>
    </w:p>
    <w:p w14:paraId="65E9BE78" w14:textId="2207230E" w:rsidR="000946F8" w:rsidRPr="00232EBB" w:rsidRDefault="000946F8" w:rsidP="00FE325A">
      <w:pPr>
        <w:spacing w:line="360" w:lineRule="auto"/>
        <w:jc w:val="both"/>
        <w:rPr>
          <w:rFonts w:eastAsia="Calibri"/>
          <w:noProof/>
          <w:lang w:val="es-DO"/>
        </w:rPr>
      </w:pPr>
      <w:r w:rsidRPr="00232EBB">
        <w:rPr>
          <w:rFonts w:eastAsia="Calibri"/>
          <w:noProof/>
          <w:lang w:val="es-DO"/>
        </w:rPr>
        <w:t>La Tesorería de la Seguridad Social (TSS) ha considerado para esta memoria el logro de los productos con sus respectivas metas para el cumplimiento de lo establecido en el Plan Estratégico Institucional 202</w:t>
      </w:r>
      <w:r w:rsidR="00B278C4" w:rsidRPr="00232EBB">
        <w:rPr>
          <w:rFonts w:eastAsia="Calibri"/>
          <w:noProof/>
          <w:lang w:val="es-DO"/>
        </w:rPr>
        <w:t>5</w:t>
      </w:r>
      <w:r w:rsidRPr="00232EBB">
        <w:rPr>
          <w:rFonts w:eastAsia="Calibri"/>
          <w:noProof/>
          <w:lang w:val="es-DO"/>
        </w:rPr>
        <w:t>-202</w:t>
      </w:r>
      <w:r w:rsidR="00B278C4" w:rsidRPr="00232EBB">
        <w:rPr>
          <w:rFonts w:eastAsia="Calibri"/>
          <w:noProof/>
          <w:lang w:val="es-DO"/>
        </w:rPr>
        <w:t>8</w:t>
      </w:r>
      <w:r w:rsidRPr="00232EBB">
        <w:rPr>
          <w:rFonts w:eastAsia="Calibri"/>
          <w:noProof/>
          <w:lang w:val="es-DO"/>
        </w:rPr>
        <w:t>, así como el Plan Operativo Anual, los cuales están alineados con la Estrategia Nacional de Desarrollo 2030, el Plan Nacional Plurianual del Sector Público, los Objetivos de Desarrollo Sostenible (ODS) y el Plan Estratégico Sectorial, adicional a esto se identificaron las iniciativas y actividades de impacto asociadas a la gestión.</w:t>
      </w:r>
    </w:p>
    <w:p w14:paraId="533CDE5B" w14:textId="3E2FFAF9" w:rsidR="000946F8" w:rsidRPr="00232EBB" w:rsidRDefault="000946F8" w:rsidP="00FE325A">
      <w:pPr>
        <w:spacing w:line="360" w:lineRule="auto"/>
        <w:jc w:val="both"/>
        <w:rPr>
          <w:rFonts w:eastAsia="Calibri"/>
          <w:noProof/>
          <w:lang w:val="es-DO"/>
        </w:rPr>
      </w:pPr>
      <w:r w:rsidRPr="00232EBB">
        <w:rPr>
          <w:rFonts w:eastAsia="Calibri"/>
          <w:noProof/>
          <w:lang w:val="es-DO"/>
        </w:rPr>
        <w:t>Invitamos cordialmente a adentrarse en esta memoria para compartir el orgullo de formar parte de una institución que trabaja incansablemente en construir un futuro más seguro y próspero para todos. Cada logro y desafío enfrentado en el año 202</w:t>
      </w:r>
      <w:r w:rsidR="00B278C4" w:rsidRPr="00232EBB">
        <w:rPr>
          <w:rFonts w:eastAsia="Calibri"/>
          <w:noProof/>
          <w:lang w:val="es-DO"/>
        </w:rPr>
        <w:t>5</w:t>
      </w:r>
      <w:r w:rsidRPr="00232EBB">
        <w:rPr>
          <w:rFonts w:eastAsia="Calibri"/>
          <w:noProof/>
          <w:lang w:val="es-DO"/>
        </w:rPr>
        <w:t xml:space="preserve"> fortalece nuestro compromiso con el bienestar social y nos impulsa a seguir contribuyendo al desarrollo sostenible de esta nación.</w:t>
      </w:r>
    </w:p>
    <w:p w14:paraId="1DBDA006" w14:textId="4D806799" w:rsidR="000946F8" w:rsidRPr="00232EBB" w:rsidRDefault="000946F8">
      <w:pPr>
        <w:rPr>
          <w:color w:val="4C4747"/>
          <w:lang w:val="es-DO"/>
        </w:rPr>
        <w:sectPr w:rsidR="000946F8" w:rsidRPr="00232EBB" w:rsidSect="00C44B5A">
          <w:footerReference w:type="first" r:id="rId15"/>
          <w:pgSz w:w="12240" w:h="15840"/>
          <w:pgMar w:top="1440" w:right="2160" w:bottom="1440" w:left="2160" w:header="720" w:footer="720" w:gutter="0"/>
          <w:cols w:space="720"/>
          <w:docGrid w:linePitch="360"/>
        </w:sectPr>
      </w:pPr>
    </w:p>
    <w:p w14:paraId="649D29AD" w14:textId="0E3656F9" w:rsidR="001240D0" w:rsidRPr="00232EBB" w:rsidRDefault="00CC305A" w:rsidP="00416CA5">
      <w:pPr>
        <w:pStyle w:val="Heading1"/>
        <w:spacing w:before="0"/>
        <w:rPr>
          <w:rFonts w:cs="Times New Roman"/>
          <w:color w:val="4C4747"/>
          <w:sz w:val="32"/>
          <w:szCs w:val="36"/>
          <w:lang w:val="es-ES"/>
        </w:rPr>
      </w:pPr>
      <w:bookmarkStart w:id="4" w:name="_Toc216952200"/>
      <w:bookmarkStart w:id="5" w:name="_Hlk86403204"/>
      <w:r w:rsidRPr="00232EBB">
        <w:rPr>
          <w:rFonts w:eastAsia="Calibri" w:cs="Times New Roman"/>
          <w:bCs/>
          <w:color w:val="767171"/>
          <w:szCs w:val="28"/>
          <w:lang w:val="es-DO"/>
        </w:rPr>
        <w:lastRenderedPageBreak/>
        <w:t>I.</w:t>
      </w:r>
      <w:r w:rsidRPr="00232EBB">
        <w:rPr>
          <w:rFonts w:eastAsia="Calibri" w:cs="Times New Roman"/>
          <w:bCs/>
          <w:color w:val="767171"/>
          <w:sz w:val="24"/>
          <w:szCs w:val="24"/>
          <w:lang w:val="es-DO"/>
        </w:rPr>
        <w:t xml:space="preserve"> </w:t>
      </w:r>
      <w:r w:rsidR="001240D0" w:rsidRPr="00232EBB">
        <w:rPr>
          <w:rFonts w:eastAsia="Calibri" w:cs="Times New Roman"/>
          <w:bCs/>
          <w:color w:val="767171"/>
          <w:szCs w:val="28"/>
          <w:lang w:val="es-DO"/>
        </w:rPr>
        <w:t>RESUMEN EJECUTIVO</w:t>
      </w:r>
      <w:bookmarkEnd w:id="4"/>
    </w:p>
    <w:p w14:paraId="7C54AF21" w14:textId="26B7214D" w:rsidR="001240D0" w:rsidRPr="00232EBB" w:rsidRDefault="00125D46" w:rsidP="00416CA5">
      <w:pPr>
        <w:spacing w:line="360" w:lineRule="auto"/>
        <w:jc w:val="both"/>
        <w:rPr>
          <w:rFonts w:eastAsia="Calibri"/>
          <w:color w:val="4C4747"/>
          <w:sz w:val="18"/>
          <w:lang w:val="es-ES"/>
        </w:rPr>
      </w:pPr>
      <w:r w:rsidRPr="00232EBB">
        <w:rPr>
          <w:rFonts w:eastAsia="Calibri"/>
          <w:noProof/>
          <w:color w:val="4C4747"/>
          <w:sz w:val="18"/>
        </w:rPr>
        <mc:AlternateContent>
          <mc:Choice Requires="wps">
            <w:drawing>
              <wp:anchor distT="0" distB="0" distL="114300" distR="114300" simplePos="0" relativeHeight="251658240" behindDoc="0" locked="0" layoutInCell="1" allowOverlap="1" wp14:anchorId="5383067F" wp14:editId="6787EBB7">
                <wp:simplePos x="0" y="0"/>
                <wp:positionH relativeFrom="margin">
                  <wp:posOffset>2271668</wp:posOffset>
                </wp:positionH>
                <wp:positionV relativeFrom="paragraph">
                  <wp:posOffset>48895</wp:posOffset>
                </wp:positionV>
                <wp:extent cx="463550" cy="0"/>
                <wp:effectExtent l="22860" t="15875" r="18415" b="22225"/>
                <wp:wrapNone/>
                <wp:docPr id="21"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3550" cy="0"/>
                        </a:xfrm>
                        <a:prstGeom prst="line">
                          <a:avLst/>
                        </a:prstGeom>
                        <a:noFill/>
                        <a:ln w="28575" algn="ctr">
                          <a:solidFill>
                            <a:srgbClr val="EE2A24"/>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B1075A" id="Straight Connector 21"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78.85pt,3.85pt" to="215.35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" strokecolor="#ee2a24" strokeweight="2.25pt">
                <v:stroke joinstyle="miter"/>
                <w10:wrap anchorx="margin"/>
              </v:line>
            </w:pict>
          </mc:Fallback>
        </mc:AlternateContent>
      </w:r>
    </w:p>
    <w:p w14:paraId="57CF8AA9" w14:textId="3246B2BE" w:rsidR="001240D0" w:rsidRPr="00232EBB" w:rsidRDefault="00654164" w:rsidP="00416CA5">
      <w:pPr>
        <w:spacing w:line="360" w:lineRule="auto"/>
        <w:jc w:val="center"/>
        <w:rPr>
          <w:lang w:val="es-DO"/>
        </w:rPr>
      </w:pPr>
      <w:r w:rsidRPr="00232EBB">
        <w:rPr>
          <w:lang w:val="es-DO"/>
        </w:rPr>
        <w:t xml:space="preserve">Memoria </w:t>
      </w:r>
      <w:r w:rsidR="00D837AC" w:rsidRPr="00232EBB">
        <w:rPr>
          <w:lang w:val="es-DO"/>
        </w:rPr>
        <w:t>I</w:t>
      </w:r>
      <w:r w:rsidRPr="00232EBB">
        <w:rPr>
          <w:lang w:val="es-DO"/>
        </w:rPr>
        <w:t>nstitucional</w:t>
      </w:r>
      <w:r w:rsidR="001240D0" w:rsidRPr="00232EBB">
        <w:rPr>
          <w:lang w:val="es-DO"/>
        </w:rPr>
        <w:t xml:space="preserve"> </w:t>
      </w:r>
      <w:r w:rsidR="000025D4" w:rsidRPr="00232EBB">
        <w:rPr>
          <w:lang w:val="es-DO"/>
        </w:rPr>
        <w:t>202</w:t>
      </w:r>
      <w:r w:rsidR="00B278C4" w:rsidRPr="00232EBB">
        <w:rPr>
          <w:lang w:val="es-DO"/>
        </w:rPr>
        <w:t>5</w:t>
      </w:r>
    </w:p>
    <w:bookmarkEnd w:id="5"/>
    <w:p w14:paraId="073D5DA1" w14:textId="48DAF4E1" w:rsidR="009463BF" w:rsidRPr="00BF6B30" w:rsidRDefault="009463BF" w:rsidP="00383FBE">
      <w:pPr>
        <w:spacing w:line="360" w:lineRule="auto"/>
        <w:jc w:val="both"/>
        <w:rPr>
          <w:rFonts w:eastAsia="Calibri"/>
          <w:noProof/>
          <w:color w:val="FF0000"/>
          <w:lang w:val="es-DO"/>
        </w:rPr>
      </w:pPr>
      <w:r w:rsidRPr="00232EBB">
        <w:rPr>
          <w:rFonts w:eastAsia="Calibri"/>
          <w:noProof/>
          <w:lang w:val="es-DO"/>
        </w:rPr>
        <w:t xml:space="preserve">En el ejercicio de nuestras responsabilidades para la recaudación, distribución y pago de las cotizaciones del Sistema Dominicano de Seguridad Social, en calidad de administradores del Sistema Único de Información y Recaudo (SUIR), informamos que al </w:t>
      </w:r>
      <w:r w:rsidR="00635047" w:rsidRPr="00232EBB">
        <w:rPr>
          <w:rFonts w:eastAsia="Calibri"/>
          <w:noProof/>
          <w:lang w:val="es-DO"/>
        </w:rPr>
        <w:t>cierre</w:t>
      </w:r>
      <w:r w:rsidRPr="00232EBB">
        <w:rPr>
          <w:rFonts w:eastAsia="Calibri"/>
          <w:noProof/>
          <w:lang w:val="es-DO"/>
        </w:rPr>
        <w:t xml:space="preserve"> de</w:t>
      </w:r>
      <w:r w:rsidR="00635047" w:rsidRPr="00232EBB">
        <w:rPr>
          <w:rFonts w:eastAsia="Calibri"/>
          <w:noProof/>
          <w:lang w:val="es-DO"/>
        </w:rPr>
        <w:t>l</w:t>
      </w:r>
      <w:r w:rsidRPr="00232EBB">
        <w:rPr>
          <w:rFonts w:eastAsia="Calibri"/>
          <w:noProof/>
          <w:lang w:val="es-DO"/>
        </w:rPr>
        <w:t xml:space="preserve"> 2025, los ingresos recaudados por la Tesorería de la Seguridad Social han alcanzado la cifra histórica de </w:t>
      </w:r>
      <w:r w:rsidR="0083782E">
        <w:rPr>
          <w:rFonts w:eastAsia="Calibri"/>
          <w:noProof/>
          <w:lang w:val="es-DO"/>
        </w:rPr>
        <w:t>Doscientos Treinta y Dos Mil Cuatrocientos Cincuenta y Cuatro Millones Cuatrocientos Sesenta y Un Mil Seiscientos Cincuenta y Cinco pesos dominicanos con 80/100 RD$232,454,461,655.80</w:t>
      </w:r>
      <w:r w:rsidR="00605CAA">
        <w:rPr>
          <w:rFonts w:eastAsia="Calibri"/>
          <w:noProof/>
          <w:lang w:val="es-DO"/>
        </w:rPr>
        <w:t>.</w:t>
      </w:r>
    </w:p>
    <w:p w14:paraId="03CFC067" w14:textId="5D4CC080" w:rsidR="003248DE" w:rsidRPr="00232EBB" w:rsidRDefault="009463BF" w:rsidP="00383FBE">
      <w:pPr>
        <w:spacing w:line="360" w:lineRule="auto"/>
        <w:jc w:val="both"/>
        <w:rPr>
          <w:rFonts w:eastAsia="Calibri"/>
          <w:noProof/>
          <w:lang w:val="es-DO"/>
        </w:rPr>
      </w:pPr>
      <w:r w:rsidRPr="00232EBB">
        <w:rPr>
          <w:rFonts w:eastAsia="Calibri"/>
          <w:noProof/>
          <w:lang w:val="es-DO"/>
        </w:rPr>
        <w:t xml:space="preserve">En el transcurso del año 2025, hemos realizado la devolución de los aportes a empleadores y trabajadores correspondientes a pagos en exceso efectuados durante el período 2024, por la suma de Doscientos treinta y cinco millones setecientos noventa y ocho mil trescientos veintiuno </w:t>
      </w:r>
      <w:r w:rsidR="00D02347" w:rsidRPr="00232EBB">
        <w:rPr>
          <w:rFonts w:eastAsia="Calibri"/>
          <w:noProof/>
          <w:lang w:val="es-DO"/>
        </w:rPr>
        <w:t xml:space="preserve">con </w:t>
      </w:r>
      <w:r w:rsidRPr="00232EBB">
        <w:rPr>
          <w:rFonts w:eastAsia="Calibri"/>
          <w:noProof/>
          <w:lang w:val="es-DO"/>
        </w:rPr>
        <w:t xml:space="preserve">82/100 (RD$235,798,321.82), que, comparado a la devolución de aportes realizada en el año 2024 asciende a Doscientos once Millones Doscientos Veinticinco mil Trescientos Siete pesos dominicanos con 10/100 (RD$211,225,307.10) representando un incremento de </w:t>
      </w:r>
      <w:r w:rsidR="00FA7D25">
        <w:rPr>
          <w:rFonts w:eastAsia="Calibri"/>
          <w:noProof/>
          <w:lang w:val="es-DO"/>
        </w:rPr>
        <w:t>11.63</w:t>
      </w:r>
      <w:r w:rsidRPr="00232EBB">
        <w:rPr>
          <w:rFonts w:eastAsia="Calibri"/>
          <w:noProof/>
          <w:lang w:val="es-DO"/>
        </w:rPr>
        <w:t>%.</w:t>
      </w:r>
    </w:p>
    <w:p w14:paraId="4783EF70" w14:textId="0A60BD80" w:rsidR="00567A02" w:rsidRPr="00232EBB" w:rsidRDefault="00567A02" w:rsidP="003F456A">
      <w:pPr>
        <w:spacing w:line="360" w:lineRule="auto"/>
        <w:jc w:val="both"/>
        <w:rPr>
          <w:rFonts w:eastAsia="Calibri"/>
          <w:noProof/>
          <w:lang w:val="es-DO"/>
        </w:rPr>
      </w:pPr>
      <w:r w:rsidRPr="00232EBB">
        <w:rPr>
          <w:rFonts w:eastAsia="Calibri"/>
          <w:noProof/>
          <w:lang w:val="es-DO"/>
        </w:rPr>
        <w:t xml:space="preserve">Los soportes brindados por nuestro equipo gestor suman al cierre del 2025 un total de </w:t>
      </w:r>
      <w:r w:rsidR="004259A7">
        <w:rPr>
          <w:rFonts w:eastAsia="Calibri"/>
          <w:noProof/>
          <w:lang w:val="es-DO"/>
        </w:rPr>
        <w:t>155,250</w:t>
      </w:r>
      <w:r w:rsidRPr="00232EBB">
        <w:rPr>
          <w:rFonts w:eastAsia="Calibri"/>
          <w:noProof/>
          <w:lang w:val="es-DO"/>
        </w:rPr>
        <w:t xml:space="preserve"> llamadas y chats con un cierre de brecha significativo en comparación con el año 2022 y 2023 donde la tasa de abandono del Centro de Asistencia al Usuario se ha ido reduciendo de un 53% en 2022 a un 11% en 2023 y en este 2025 a solo un 2%.</w:t>
      </w:r>
    </w:p>
    <w:p w14:paraId="579560A4" w14:textId="4FECF4F7" w:rsidR="00671F4B" w:rsidRPr="00232EBB" w:rsidRDefault="00671F4B" w:rsidP="00671F4B">
      <w:pPr>
        <w:spacing w:line="360" w:lineRule="auto"/>
        <w:jc w:val="both"/>
        <w:rPr>
          <w:rFonts w:eastAsia="Calibri"/>
          <w:noProof/>
          <w:lang w:val="es-DO"/>
        </w:rPr>
      </w:pPr>
      <w:r w:rsidRPr="00232EBB">
        <w:rPr>
          <w:rFonts w:eastAsia="Calibri"/>
          <w:noProof/>
          <w:lang w:val="es-DO"/>
        </w:rPr>
        <w:t xml:space="preserve">La TSS mantiene un nivel de eficiencia en las recaudaciones de un  </w:t>
      </w:r>
      <w:r w:rsidR="00FA6A45" w:rsidRPr="005F34C0">
        <w:rPr>
          <w:rFonts w:eastAsia="Calibri"/>
          <w:noProof/>
          <w:lang w:val="es-DO"/>
        </w:rPr>
        <w:t>9</w:t>
      </w:r>
      <w:r w:rsidR="004622C5">
        <w:rPr>
          <w:rFonts w:eastAsia="Calibri"/>
          <w:noProof/>
          <w:lang w:val="es-DO"/>
        </w:rPr>
        <w:t>8.9</w:t>
      </w:r>
      <w:r w:rsidRPr="00FA6A45">
        <w:rPr>
          <w:rFonts w:eastAsia="Calibri"/>
          <w:noProof/>
          <w:lang w:val="es-DO"/>
        </w:rPr>
        <w:t>%</w:t>
      </w:r>
      <w:r w:rsidRPr="008773E8">
        <w:rPr>
          <w:rFonts w:eastAsia="Calibri"/>
          <w:noProof/>
          <w:color w:val="FF0000"/>
          <w:lang w:val="es-DO"/>
        </w:rPr>
        <w:t xml:space="preserve"> </w:t>
      </w:r>
      <w:r w:rsidRPr="00232EBB">
        <w:rPr>
          <w:rFonts w:eastAsia="Calibri"/>
          <w:noProof/>
          <w:lang w:val="es-DO"/>
        </w:rPr>
        <w:t xml:space="preserve">que se obtiene al comparar las notificaciones de pago generadas en el período versus las notificaciones pagadas, el cual se </w:t>
      </w:r>
      <w:r w:rsidRPr="00232EBB">
        <w:rPr>
          <w:rFonts w:eastAsia="Calibri"/>
          <w:noProof/>
          <w:lang w:val="es-DO"/>
        </w:rPr>
        <w:lastRenderedPageBreak/>
        <w:t>ha logrado mediante la gestión oportuna de las cobranzas y la sensibilización a tráves de los diferentes canales de difusión de información disponibles para que los empleadores puedan dar cumplimiento de sus obligaciones.</w:t>
      </w:r>
    </w:p>
    <w:p w14:paraId="18A94D58" w14:textId="307A8594" w:rsidR="00671F4B" w:rsidRPr="00232EBB" w:rsidRDefault="00671F4B" w:rsidP="00671F4B">
      <w:pPr>
        <w:spacing w:line="360" w:lineRule="auto"/>
        <w:jc w:val="both"/>
        <w:rPr>
          <w:rFonts w:eastAsia="Calibri"/>
          <w:noProof/>
          <w:lang w:val="es-DO"/>
        </w:rPr>
      </w:pPr>
      <w:r w:rsidRPr="00232EBB">
        <w:rPr>
          <w:rFonts w:eastAsia="Calibri"/>
          <w:noProof/>
          <w:lang w:val="es-DO"/>
        </w:rPr>
        <w:t xml:space="preserve">El incremento de las recaudaciones </w:t>
      </w:r>
      <w:r w:rsidR="007868E5" w:rsidRPr="00232EBB">
        <w:rPr>
          <w:rFonts w:eastAsia="Calibri"/>
          <w:noProof/>
          <w:lang w:val="es-DO"/>
        </w:rPr>
        <w:t xml:space="preserve">al cierre del </w:t>
      </w:r>
      <w:r w:rsidRPr="00232EBB">
        <w:rPr>
          <w:rFonts w:eastAsia="Calibri"/>
          <w:noProof/>
          <w:lang w:val="es-DO"/>
        </w:rPr>
        <w:t xml:space="preserve"> 2025 ha sido de un </w:t>
      </w:r>
      <w:r w:rsidRPr="00FA6A45">
        <w:rPr>
          <w:rFonts w:eastAsia="Calibri"/>
          <w:noProof/>
          <w:lang w:val="es-DO"/>
        </w:rPr>
        <w:t>9.</w:t>
      </w:r>
      <w:r w:rsidR="00FA6A45" w:rsidRPr="00FA6A45">
        <w:rPr>
          <w:rFonts w:eastAsia="Calibri"/>
          <w:noProof/>
          <w:lang w:val="es-DO"/>
        </w:rPr>
        <w:t>8</w:t>
      </w:r>
      <w:r w:rsidRPr="00232EBB">
        <w:rPr>
          <w:rFonts w:eastAsia="Calibri"/>
          <w:noProof/>
          <w:lang w:val="es-DO"/>
        </w:rPr>
        <w:t xml:space="preserve">%  en comparación al mismo período 2024, percibidos con el aumento de los topes salariales, que contribuye a una mayor cobertura para los afiliados en las prestaciones de servicios de salud y aumento en los fondos de pensiones, además, se ha fortalecido la gestión de cobros y sometimientos a empleadores morosos. </w:t>
      </w:r>
    </w:p>
    <w:p w14:paraId="3208F3AC" w14:textId="3DE82808" w:rsidR="00671F4B" w:rsidRPr="00232EBB" w:rsidRDefault="007868E5" w:rsidP="00671F4B">
      <w:pPr>
        <w:spacing w:line="360" w:lineRule="auto"/>
        <w:jc w:val="both"/>
        <w:rPr>
          <w:rFonts w:eastAsia="Calibri"/>
          <w:noProof/>
          <w:lang w:val="es-DO"/>
        </w:rPr>
      </w:pPr>
      <w:r w:rsidRPr="00232EBB">
        <w:rPr>
          <w:rFonts w:eastAsia="Calibri"/>
          <w:noProof/>
          <w:lang w:val="es-DO"/>
        </w:rPr>
        <w:t>Al cierre</w:t>
      </w:r>
      <w:r w:rsidR="00671F4B" w:rsidRPr="00232EBB">
        <w:rPr>
          <w:rFonts w:eastAsia="Calibri"/>
          <w:noProof/>
          <w:lang w:val="es-DO"/>
        </w:rPr>
        <w:t xml:space="preserve"> de</w:t>
      </w:r>
      <w:r w:rsidRPr="00232EBB">
        <w:rPr>
          <w:rFonts w:eastAsia="Calibri"/>
          <w:noProof/>
          <w:lang w:val="es-DO"/>
        </w:rPr>
        <w:t>l</w:t>
      </w:r>
      <w:r w:rsidR="00671F4B" w:rsidRPr="00232EBB">
        <w:rPr>
          <w:rFonts w:eastAsia="Calibri"/>
          <w:noProof/>
          <w:lang w:val="es-DO"/>
        </w:rPr>
        <w:t xml:space="preserve"> 2025, se encuentran registrados en el Sistema Dominicano de Seguridad Social un promedio de  trabajadores cotizantes con un salario promedio de RD$ 37,</w:t>
      </w:r>
      <w:r w:rsidR="00FA6A45">
        <w:rPr>
          <w:rFonts w:eastAsia="Calibri"/>
          <w:noProof/>
          <w:lang w:val="es-DO"/>
        </w:rPr>
        <w:t>844</w:t>
      </w:r>
      <w:r w:rsidR="00671F4B" w:rsidRPr="00232EBB">
        <w:rPr>
          <w:rFonts w:eastAsia="Calibri"/>
          <w:noProof/>
          <w:lang w:val="es-DO"/>
        </w:rPr>
        <w:t>. Respecto al período 2024, se observa un ligero crecimiento de los trabajadores cotizantes en el SUIR</w:t>
      </w:r>
      <w:r w:rsidR="00FA6A45">
        <w:rPr>
          <w:rFonts w:eastAsia="Calibri"/>
          <w:noProof/>
          <w:lang w:val="es-DO"/>
        </w:rPr>
        <w:t xml:space="preserve"> de un 1.8%</w:t>
      </w:r>
      <w:r w:rsidR="00671F4B" w:rsidRPr="00232EBB">
        <w:rPr>
          <w:rFonts w:eastAsia="Calibri"/>
          <w:noProof/>
          <w:lang w:val="es-DO"/>
        </w:rPr>
        <w:t xml:space="preserve"> y un </w:t>
      </w:r>
      <w:r w:rsidR="00FA6A45">
        <w:rPr>
          <w:rFonts w:eastAsia="Calibri"/>
          <w:noProof/>
          <w:lang w:val="es-DO"/>
        </w:rPr>
        <w:t>8.5</w:t>
      </w:r>
      <w:r w:rsidR="00671F4B" w:rsidRPr="00232EBB">
        <w:rPr>
          <w:rFonts w:eastAsia="Calibri"/>
          <w:noProof/>
          <w:lang w:val="es-DO"/>
        </w:rPr>
        <w:t>%</w:t>
      </w:r>
      <w:r w:rsidR="00671F4B" w:rsidRPr="00232EBB">
        <w:rPr>
          <w:rFonts w:eastAsia="Calibri"/>
          <w:noProof/>
          <w:color w:val="auto"/>
          <w:lang w:val="es-DO"/>
        </w:rPr>
        <w:t xml:space="preserve"> </w:t>
      </w:r>
      <w:r w:rsidR="00671F4B" w:rsidRPr="00232EBB">
        <w:rPr>
          <w:rFonts w:eastAsia="Calibri"/>
          <w:noProof/>
          <w:lang w:val="es-DO"/>
        </w:rPr>
        <w:t>de incremento en el salario p</w:t>
      </w:r>
      <w:r w:rsidR="00FA6A45">
        <w:rPr>
          <w:rFonts w:eastAsia="Calibri"/>
          <w:noProof/>
          <w:lang w:val="es-DO"/>
        </w:rPr>
        <w:t>r</w:t>
      </w:r>
      <w:r w:rsidR="00671F4B" w:rsidRPr="00232EBB">
        <w:rPr>
          <w:rFonts w:eastAsia="Calibri"/>
          <w:noProof/>
          <w:lang w:val="es-DO"/>
        </w:rPr>
        <w:t xml:space="preserve">omedio. La cobertura de salud en el régimen subsidiado incluía </w:t>
      </w:r>
      <w:r w:rsidR="00FA6A45" w:rsidRPr="00FA6A45">
        <w:rPr>
          <w:rFonts w:eastAsia="Calibri"/>
          <w:noProof/>
          <w:lang w:val="es-DO"/>
        </w:rPr>
        <w:t>5,655,485</w:t>
      </w:r>
      <w:r w:rsidR="00671F4B" w:rsidRPr="008773E8">
        <w:rPr>
          <w:rFonts w:eastAsia="Calibri"/>
          <w:noProof/>
          <w:color w:val="FF0000"/>
          <w:lang w:val="es-DO"/>
        </w:rPr>
        <w:t xml:space="preserve"> </w:t>
      </w:r>
      <w:r w:rsidR="00671F4B" w:rsidRPr="00232EBB">
        <w:rPr>
          <w:rFonts w:eastAsia="Calibri"/>
          <w:noProof/>
          <w:lang w:val="es-DO"/>
        </w:rPr>
        <w:t xml:space="preserve">afiliados de los cuales </w:t>
      </w:r>
      <w:r w:rsidR="00FA6A45" w:rsidRPr="00FA6A45">
        <w:rPr>
          <w:rFonts w:eastAsia="Calibri"/>
          <w:noProof/>
          <w:lang w:val="es-DO"/>
        </w:rPr>
        <w:t>4,808,863</w:t>
      </w:r>
      <w:r w:rsidR="00671F4B" w:rsidRPr="008773E8">
        <w:rPr>
          <w:rFonts w:eastAsia="Calibri"/>
          <w:noProof/>
          <w:color w:val="FF0000"/>
          <w:lang w:val="es-DO"/>
        </w:rPr>
        <w:t xml:space="preserve"> </w:t>
      </w:r>
      <w:r w:rsidR="00671F4B" w:rsidRPr="00232EBB">
        <w:rPr>
          <w:rFonts w:eastAsia="Calibri"/>
          <w:noProof/>
          <w:lang w:val="es-DO"/>
        </w:rPr>
        <w:t xml:space="preserve">eran titulares y </w:t>
      </w:r>
      <w:r w:rsidR="00FA6A45" w:rsidRPr="00FA6A45">
        <w:rPr>
          <w:rFonts w:eastAsia="Calibri"/>
          <w:noProof/>
          <w:lang w:val="es-DO"/>
        </w:rPr>
        <w:t>846,622</w:t>
      </w:r>
      <w:r w:rsidR="00671F4B" w:rsidRPr="008773E8">
        <w:rPr>
          <w:rFonts w:eastAsia="Calibri"/>
          <w:noProof/>
          <w:color w:val="FF0000"/>
          <w:lang w:val="es-DO"/>
        </w:rPr>
        <w:t xml:space="preserve"> </w:t>
      </w:r>
      <w:r w:rsidR="00671F4B" w:rsidRPr="00232EBB">
        <w:rPr>
          <w:rFonts w:eastAsia="Calibri"/>
          <w:noProof/>
          <w:lang w:val="es-DO"/>
        </w:rPr>
        <w:t>dependientes al incio del cuarto trimestre 2025.  </w:t>
      </w:r>
    </w:p>
    <w:p w14:paraId="1C78EAFF" w14:textId="1D0B8175" w:rsidR="00671F4B" w:rsidRPr="00605CAA" w:rsidRDefault="00671F4B" w:rsidP="00671F4B">
      <w:pPr>
        <w:spacing w:line="360" w:lineRule="auto"/>
        <w:jc w:val="both"/>
        <w:rPr>
          <w:rFonts w:eastAsia="Calibri"/>
          <w:noProof/>
          <w:lang w:val="es-DO"/>
        </w:rPr>
      </w:pPr>
      <w:bookmarkStart w:id="6" w:name="_Hlk219792939"/>
      <w:r w:rsidRPr="00605CAA">
        <w:rPr>
          <w:rFonts w:eastAsia="Calibri"/>
          <w:noProof/>
          <w:lang w:val="es-DO"/>
        </w:rPr>
        <w:t xml:space="preserve">Los pagos realizados a las Administradoras de Riesgos de Salud (ARS) del Régimen Contributivo </w:t>
      </w:r>
      <w:r w:rsidR="00605CAA" w:rsidRPr="00605CAA">
        <w:rPr>
          <w:rFonts w:eastAsia="Calibri"/>
          <w:noProof/>
          <w:lang w:val="es-DO"/>
        </w:rPr>
        <w:t xml:space="preserve">al cierre del 2025 </w:t>
      </w:r>
      <w:r w:rsidRPr="00605CAA">
        <w:rPr>
          <w:rFonts w:eastAsia="Calibri"/>
          <w:noProof/>
          <w:lang w:val="es-DO"/>
        </w:rPr>
        <w:t>ascienden</w:t>
      </w:r>
      <w:r w:rsidR="00605CAA" w:rsidRPr="00605CAA">
        <w:rPr>
          <w:rFonts w:eastAsia="Calibri"/>
          <w:noProof/>
          <w:lang w:val="es-DO"/>
        </w:rPr>
        <w:t xml:space="preserve"> a</w:t>
      </w:r>
      <w:r w:rsidRPr="00605CAA">
        <w:rPr>
          <w:rFonts w:eastAsia="Calibri"/>
          <w:noProof/>
          <w:lang w:val="es-DO"/>
        </w:rPr>
        <w:t xml:space="preserve">, </w:t>
      </w:r>
      <w:r w:rsidR="00605CAA" w:rsidRPr="00605CAA">
        <w:rPr>
          <w:rFonts w:eastAsia="Calibri"/>
          <w:noProof/>
          <w:lang w:val="es-DO"/>
        </w:rPr>
        <w:t>RD$101.968.299.859.29</w:t>
      </w:r>
      <w:r w:rsidRPr="00605CAA">
        <w:rPr>
          <w:rFonts w:eastAsia="Calibri"/>
          <w:noProof/>
          <w:lang w:val="es-DO"/>
        </w:rPr>
        <w:t xml:space="preserve"> correspondientes a </w:t>
      </w:r>
      <w:r w:rsidR="00605CAA" w:rsidRPr="00605CAA">
        <w:rPr>
          <w:rFonts w:eastAsia="Calibri"/>
          <w:noProof/>
          <w:lang w:val="es-DO"/>
        </w:rPr>
        <w:t>2,287,937</w:t>
      </w:r>
      <w:r w:rsidRPr="00605CAA">
        <w:rPr>
          <w:rFonts w:eastAsia="Calibri"/>
          <w:noProof/>
          <w:lang w:val="es-DO"/>
        </w:rPr>
        <w:t xml:space="preserve"> títulares, </w:t>
      </w:r>
      <w:r w:rsidR="00605CAA" w:rsidRPr="00605CAA">
        <w:rPr>
          <w:rFonts w:eastAsia="Calibri"/>
          <w:noProof/>
          <w:lang w:val="es-DO"/>
        </w:rPr>
        <w:t>2,368,945</w:t>
      </w:r>
      <w:r w:rsidRPr="00605CAA">
        <w:rPr>
          <w:rFonts w:eastAsia="Calibri"/>
          <w:noProof/>
          <w:lang w:val="es-DO"/>
        </w:rPr>
        <w:t xml:space="preserve"> dependientes y </w:t>
      </w:r>
      <w:r w:rsidR="00605CAA" w:rsidRPr="00605CAA">
        <w:rPr>
          <w:rFonts w:eastAsia="Calibri"/>
          <w:noProof/>
          <w:lang w:val="es-DO"/>
        </w:rPr>
        <w:t>271,313</w:t>
      </w:r>
      <w:r w:rsidRPr="00605CAA">
        <w:rPr>
          <w:rFonts w:eastAsia="Calibri"/>
          <w:noProof/>
          <w:lang w:val="es-DO"/>
        </w:rPr>
        <w:t xml:space="preserve"> adicionales, lo que refleja un incremento interanual aproximado de 2.0%. </w:t>
      </w:r>
    </w:p>
    <w:bookmarkEnd w:id="6"/>
    <w:p w14:paraId="65DC067C" w14:textId="76E01CBE" w:rsidR="00671F4B" w:rsidRPr="00232EBB" w:rsidRDefault="00671F4B" w:rsidP="00B91ED4">
      <w:pPr>
        <w:spacing w:line="360" w:lineRule="auto"/>
        <w:jc w:val="both"/>
        <w:rPr>
          <w:rFonts w:eastAsia="Calibri"/>
          <w:noProof/>
          <w:lang w:val="es-DO"/>
        </w:rPr>
      </w:pPr>
      <w:r w:rsidRPr="00232EBB">
        <w:rPr>
          <w:rFonts w:eastAsia="Calibri"/>
          <w:noProof/>
          <w:lang w:val="es-DO"/>
        </w:rPr>
        <w:t>Adicional, se observa en los registros del SDSS, que de los cotizantes, el 0.</w:t>
      </w:r>
      <w:r w:rsidR="00FA6A45">
        <w:rPr>
          <w:rFonts w:eastAsia="Calibri"/>
          <w:noProof/>
          <w:lang w:val="es-DO"/>
        </w:rPr>
        <w:t>2</w:t>
      </w:r>
      <w:r w:rsidRPr="00232EBB">
        <w:rPr>
          <w:rFonts w:eastAsia="Calibri"/>
          <w:noProof/>
          <w:lang w:val="es-DO"/>
        </w:rPr>
        <w:t>% perciben salarios</w:t>
      </w:r>
      <w:r w:rsidRPr="00232EBB" w:rsidDel="003472A1">
        <w:rPr>
          <w:rFonts w:eastAsia="Calibri"/>
          <w:noProof/>
          <w:lang w:val="es-DO"/>
        </w:rPr>
        <w:t xml:space="preserve"> </w:t>
      </w:r>
      <w:r w:rsidRPr="00232EBB">
        <w:rPr>
          <w:rFonts w:eastAsia="Calibri"/>
          <w:noProof/>
          <w:lang w:val="es-DO"/>
        </w:rPr>
        <w:t>inferiores a RD$ 5,000, y que un 3.</w:t>
      </w:r>
      <w:r w:rsidR="00FA6A45">
        <w:rPr>
          <w:rFonts w:eastAsia="Calibri"/>
          <w:noProof/>
          <w:lang w:val="es-DO"/>
        </w:rPr>
        <w:t>28</w:t>
      </w:r>
      <w:r w:rsidRPr="00232EBB">
        <w:rPr>
          <w:rFonts w:eastAsia="Calibri"/>
          <w:noProof/>
          <w:lang w:val="es-DO"/>
        </w:rPr>
        <w:t>% de los cotizantes en el mercado laboral perciben salarios entre RD$5,000 a RD$10,000 pesos, seguido por el 5.9% que  oscila entre RD$10,000 a RD$15,000 pesos, un 5</w:t>
      </w:r>
      <w:r w:rsidR="00FA6A45">
        <w:rPr>
          <w:rFonts w:eastAsia="Calibri"/>
          <w:noProof/>
          <w:lang w:val="es-DO"/>
        </w:rPr>
        <w:t>2</w:t>
      </w:r>
      <w:r w:rsidRPr="00232EBB">
        <w:rPr>
          <w:rFonts w:eastAsia="Calibri"/>
          <w:noProof/>
          <w:lang w:val="es-DO"/>
        </w:rPr>
        <w:t>.6% perciben salarios</w:t>
      </w:r>
      <w:r w:rsidRPr="00232EBB" w:rsidDel="003472A1">
        <w:rPr>
          <w:rFonts w:eastAsia="Calibri"/>
          <w:noProof/>
          <w:lang w:val="es-DO"/>
        </w:rPr>
        <w:t xml:space="preserve"> </w:t>
      </w:r>
      <w:r w:rsidRPr="00232EBB">
        <w:rPr>
          <w:rFonts w:eastAsia="Calibri"/>
          <w:noProof/>
          <w:lang w:val="es-DO"/>
        </w:rPr>
        <w:t xml:space="preserve">entre RD$15,000 y RD$30,000, un </w:t>
      </w:r>
      <w:r w:rsidR="00FA6A45">
        <w:rPr>
          <w:rFonts w:eastAsia="Calibri"/>
          <w:noProof/>
          <w:lang w:val="es-DO"/>
        </w:rPr>
        <w:t>20</w:t>
      </w:r>
      <w:r w:rsidRPr="00232EBB">
        <w:rPr>
          <w:rFonts w:eastAsia="Calibri"/>
          <w:noProof/>
          <w:lang w:val="es-DO"/>
        </w:rPr>
        <w:t xml:space="preserve">.5% oscila entre RD$30,000 y </w:t>
      </w:r>
      <w:r w:rsidRPr="00232EBB">
        <w:rPr>
          <w:rFonts w:eastAsia="Calibri"/>
          <w:noProof/>
          <w:lang w:val="es-DO"/>
        </w:rPr>
        <w:lastRenderedPageBreak/>
        <w:t>RD$50,000 y el resto de los cotizantes, un 1</w:t>
      </w:r>
      <w:r w:rsidR="00FA6A45">
        <w:rPr>
          <w:rFonts w:eastAsia="Calibri"/>
          <w:noProof/>
          <w:lang w:val="es-DO"/>
        </w:rPr>
        <w:t>8</w:t>
      </w:r>
      <w:r w:rsidRPr="00232EBB">
        <w:rPr>
          <w:rFonts w:eastAsia="Calibri"/>
          <w:noProof/>
          <w:lang w:val="es-DO"/>
        </w:rPr>
        <w:t>.3% perciben salarios</w:t>
      </w:r>
      <w:r w:rsidRPr="00232EBB" w:rsidDel="003472A1">
        <w:rPr>
          <w:rFonts w:eastAsia="Calibri"/>
          <w:noProof/>
          <w:lang w:val="es-DO"/>
        </w:rPr>
        <w:t xml:space="preserve"> </w:t>
      </w:r>
      <w:r w:rsidRPr="00232EBB">
        <w:rPr>
          <w:rFonts w:eastAsia="Calibri"/>
          <w:noProof/>
          <w:lang w:val="es-DO"/>
        </w:rPr>
        <w:t>superiores a los RD$50,000.</w:t>
      </w:r>
    </w:p>
    <w:p w14:paraId="44F1B8AF" w14:textId="08872787" w:rsidR="00671F4B" w:rsidRPr="00232EBB" w:rsidRDefault="00671F4B" w:rsidP="00671F4B">
      <w:pPr>
        <w:spacing w:line="360" w:lineRule="auto"/>
        <w:jc w:val="both"/>
        <w:rPr>
          <w:rFonts w:eastAsia="Calibri"/>
          <w:noProof/>
          <w:lang w:val="es-DO"/>
        </w:rPr>
      </w:pPr>
      <w:r w:rsidRPr="00232EBB">
        <w:rPr>
          <w:rFonts w:eastAsia="Calibri"/>
          <w:noProof/>
          <w:lang w:val="es-DO"/>
        </w:rPr>
        <w:t xml:space="preserve">En cuanto al producto de Disponibilidad del Sistema Único de Información y Recaudo </w:t>
      </w:r>
      <w:r w:rsidR="00524D62">
        <w:rPr>
          <w:rFonts w:eastAsia="Calibri"/>
          <w:noProof/>
          <w:lang w:val="es-DO"/>
        </w:rPr>
        <w:t>(</w:t>
      </w:r>
      <w:r w:rsidRPr="00232EBB">
        <w:rPr>
          <w:rFonts w:eastAsia="Calibri"/>
          <w:noProof/>
          <w:lang w:val="es-DO"/>
        </w:rPr>
        <w:t>SUIR</w:t>
      </w:r>
      <w:r w:rsidR="00524D62">
        <w:rPr>
          <w:rFonts w:eastAsia="Calibri"/>
          <w:noProof/>
          <w:lang w:val="es-DO"/>
        </w:rPr>
        <w:t>)</w:t>
      </w:r>
      <w:r w:rsidRPr="00232EBB">
        <w:rPr>
          <w:rFonts w:eastAsia="Calibri"/>
          <w:noProof/>
          <w:lang w:val="es-DO"/>
        </w:rPr>
        <w:t xml:space="preserve">, la disponibilidad mantuvo un resultado de un </w:t>
      </w:r>
      <w:r w:rsidR="00B06348">
        <w:rPr>
          <w:rFonts w:eastAsia="Calibri"/>
          <w:noProof/>
          <w:lang w:val="es-DO"/>
        </w:rPr>
        <w:t>98.77</w:t>
      </w:r>
      <w:r w:rsidRPr="00232EBB">
        <w:rPr>
          <w:rFonts w:eastAsia="Calibri"/>
          <w:noProof/>
          <w:lang w:val="es-DO"/>
        </w:rPr>
        <w:t xml:space="preserve">%, lo que garantizó a los empleadores y partes interesadas poder tener accesibilidad en todo momento para realizar novedades y carga de nóminas al sistema o realizar consultas. </w:t>
      </w:r>
    </w:p>
    <w:p w14:paraId="66FF2E2A" w14:textId="77777777" w:rsidR="00211D0E" w:rsidRPr="00232EBB" w:rsidRDefault="00211D0E" w:rsidP="0083386F">
      <w:pPr>
        <w:spacing w:line="360" w:lineRule="auto"/>
        <w:jc w:val="both"/>
        <w:rPr>
          <w:rFonts w:eastAsia="Calibri"/>
          <w:noProof/>
          <w:lang w:val="es-DO"/>
        </w:rPr>
      </w:pPr>
      <w:r w:rsidRPr="00232EBB">
        <w:rPr>
          <w:rFonts w:eastAsia="Calibri"/>
          <w:noProof/>
          <w:lang w:val="es-DO"/>
        </w:rPr>
        <w:t>A través de nuestros Centros de Servicios ubicados en Distrito Nacional, Bávaro, Puerto Plata, San Francisco de Macorís y los Punto GOB Santiago, Sambil, Mega Centro y Occidental Mall hemos recibido un total de 23,377 y 14,625 usuarios respectivamente, asistiéndoles en los diferentes procesos de nuestra cartera de servicios institucionales.</w:t>
      </w:r>
    </w:p>
    <w:p w14:paraId="634EE0A4" w14:textId="77777777" w:rsidR="00211D0E" w:rsidRPr="00232EBB" w:rsidRDefault="00211D0E" w:rsidP="0007713D">
      <w:pPr>
        <w:spacing w:line="360" w:lineRule="auto"/>
        <w:jc w:val="both"/>
        <w:rPr>
          <w:rFonts w:eastAsia="Calibri"/>
          <w:noProof/>
          <w:lang w:val="es-DO"/>
        </w:rPr>
      </w:pPr>
      <w:r w:rsidRPr="00232EBB">
        <w:rPr>
          <w:rFonts w:eastAsia="Calibri"/>
          <w:noProof/>
          <w:lang w:val="es-DO"/>
        </w:rPr>
        <w:t>Como parte de nuestro compromiso con la innovación y la excelencia, hemos implementado un nuevo portal de servicios online, el cual permite que el proceso de registro de empresas pueda ser realizado completamente en línea y sin necesidad de desplazamiento del ciudadano.</w:t>
      </w:r>
    </w:p>
    <w:p w14:paraId="3EAA2761" w14:textId="0B15E844" w:rsidR="0053054F" w:rsidRPr="00232EBB" w:rsidRDefault="0053054F" w:rsidP="0053054F">
      <w:pPr>
        <w:spacing w:after="0" w:line="360" w:lineRule="auto"/>
        <w:jc w:val="both"/>
        <w:rPr>
          <w:rFonts w:eastAsia="Calibri"/>
          <w:noProof/>
          <w:lang w:val="es-DO"/>
        </w:rPr>
      </w:pPr>
      <w:r w:rsidRPr="00232EBB">
        <w:rPr>
          <w:rFonts w:eastAsia="Calibri"/>
          <w:noProof/>
          <w:lang w:val="es-DO"/>
        </w:rPr>
        <w:t xml:space="preserve">De los servicios tramitados a nuestros usuarios, hemos gestionado un total de </w:t>
      </w:r>
      <w:r w:rsidR="0039280A">
        <w:rPr>
          <w:rFonts w:eastAsia="Calibri"/>
          <w:noProof/>
          <w:lang w:val="es-DO"/>
        </w:rPr>
        <w:t>13,415</w:t>
      </w:r>
      <w:r w:rsidRPr="00232EBB">
        <w:rPr>
          <w:rFonts w:eastAsia="Calibri"/>
          <w:noProof/>
          <w:lang w:val="es-DO"/>
        </w:rPr>
        <w:t xml:space="preserve"> solicitudes de registro de empleadores vía los distintos canales de comunicación, logrando un impresionante porcentaje de cumplimiento del 99% de respuesta en menos de 3 días laborables y hemos entregado al cierre de diciembre 1,</w:t>
      </w:r>
      <w:r w:rsidR="004259A7">
        <w:rPr>
          <w:rFonts w:eastAsia="Calibri"/>
          <w:noProof/>
          <w:lang w:val="es-DO"/>
        </w:rPr>
        <w:t>582,437</w:t>
      </w:r>
      <w:r w:rsidRPr="00232EBB">
        <w:rPr>
          <w:rFonts w:eastAsia="Calibri"/>
          <w:noProof/>
          <w:lang w:val="es-DO"/>
        </w:rPr>
        <w:t>  certificaciones automáticas y manuales sobre aporte empleado, aporte personal, balance al día, NSS a extranjero, registro sin nómina, entre otras con un porcentaje de cumplimiento sostenible del 100% dentro del plazo comprometido.</w:t>
      </w:r>
    </w:p>
    <w:p w14:paraId="0B376CAF" w14:textId="77777777" w:rsidR="00EE13EB" w:rsidRPr="00232EBB" w:rsidRDefault="00EE13EB" w:rsidP="0053054F">
      <w:pPr>
        <w:spacing w:after="0" w:line="360" w:lineRule="auto"/>
        <w:jc w:val="both"/>
        <w:rPr>
          <w:rFonts w:eastAsia="Calibri"/>
          <w:noProof/>
          <w:lang w:val="es-DO"/>
        </w:rPr>
      </w:pPr>
    </w:p>
    <w:p w14:paraId="5A8CB17E" w14:textId="77777777" w:rsidR="00211D0E" w:rsidRPr="00232EBB" w:rsidRDefault="00211D0E" w:rsidP="0053054F">
      <w:pPr>
        <w:spacing w:line="360" w:lineRule="auto"/>
        <w:jc w:val="both"/>
        <w:rPr>
          <w:rFonts w:eastAsia="Calibri"/>
          <w:noProof/>
          <w:lang w:val="es-DO"/>
        </w:rPr>
      </w:pPr>
      <w:r w:rsidRPr="00232EBB">
        <w:rPr>
          <w:rFonts w:eastAsia="Calibri"/>
          <w:noProof/>
          <w:lang w:val="es-DO"/>
        </w:rPr>
        <w:lastRenderedPageBreak/>
        <w:t>Hemos optimizado nuestros tiempos de atención a las solicitudes vía el Centro de Asistencia a Empleador gestionando respuestas a llamadas, chats y correo de servicio al usuario con una tasa de éxito histórica del 97.89% y con tiempos de espera que antes superaban los quince (15) minutos a un tiempo no mayor de un (1) minuto en promedio.</w:t>
      </w:r>
    </w:p>
    <w:p w14:paraId="31A27FEF" w14:textId="1D855743" w:rsidR="00211D0E" w:rsidRPr="00232EBB" w:rsidRDefault="00211D0E" w:rsidP="00211D0E">
      <w:pPr>
        <w:spacing w:line="360" w:lineRule="auto"/>
        <w:jc w:val="both"/>
        <w:rPr>
          <w:rFonts w:eastAsia="Calibri"/>
          <w:noProof/>
          <w:lang w:val="es-DO"/>
        </w:rPr>
      </w:pPr>
      <w:r w:rsidRPr="00232EBB">
        <w:rPr>
          <w:rFonts w:eastAsia="Calibri"/>
          <w:noProof/>
          <w:lang w:val="es-DO"/>
        </w:rPr>
        <w:t xml:space="preserve">Nuestra institución ha gestionado un total de </w:t>
      </w:r>
      <w:r w:rsidR="0039280A">
        <w:rPr>
          <w:rFonts w:eastAsia="Calibri"/>
          <w:noProof/>
          <w:lang w:val="es-DO"/>
        </w:rPr>
        <w:t>155,250</w:t>
      </w:r>
      <w:r w:rsidRPr="00232EBB">
        <w:rPr>
          <w:rFonts w:eastAsia="Calibri"/>
          <w:noProof/>
          <w:lang w:val="es-DO"/>
        </w:rPr>
        <w:t xml:space="preserve"> llamadas y chats para la tramitación de servicios. Durante este período, se registró una reducción significativa de la tasa de abandono de servicios, en comparación con el año 2024 que fue de 2%. </w:t>
      </w:r>
    </w:p>
    <w:p w14:paraId="142F983B" w14:textId="6F168F96" w:rsidR="007100F9" w:rsidRPr="00232EBB" w:rsidRDefault="005F0428" w:rsidP="005F0428">
      <w:pPr>
        <w:spacing w:line="360" w:lineRule="auto"/>
        <w:jc w:val="both"/>
        <w:rPr>
          <w:rFonts w:eastAsia="Calibri"/>
          <w:noProof/>
          <w:lang w:val="es-DO"/>
        </w:rPr>
      </w:pPr>
      <w:r w:rsidRPr="00232EBB">
        <w:rPr>
          <w:rFonts w:eastAsia="Calibri"/>
          <w:noProof/>
          <w:lang w:val="es-DO"/>
        </w:rPr>
        <w:t xml:space="preserve">Estos soportes brindados por nuestro equipo gestor suman al cierre del 2025 un total de </w:t>
      </w:r>
      <w:r w:rsidR="004259A7">
        <w:rPr>
          <w:rFonts w:eastAsia="Calibri"/>
          <w:noProof/>
          <w:lang w:val="es-DO"/>
        </w:rPr>
        <w:t>155,250</w:t>
      </w:r>
      <w:r w:rsidRPr="00232EBB">
        <w:rPr>
          <w:rFonts w:eastAsia="Calibri"/>
          <w:noProof/>
          <w:lang w:val="es-DO"/>
        </w:rPr>
        <w:t xml:space="preserve"> llamadas y chats con un cierre de brecha significativo en comparación con el año 2022 y 2023 donde la tasa de abandono del Centro de Asistencia al Usuario se ha ido reduciendo de un 53% en 2022 a un 11% en 2023 y en este 2025 a solo un 2%.</w:t>
      </w:r>
    </w:p>
    <w:p w14:paraId="06A9BA33" w14:textId="5C069FAF" w:rsidR="00720E40" w:rsidRPr="00232EBB" w:rsidRDefault="007100F9" w:rsidP="007100F9">
      <w:pPr>
        <w:spacing w:line="360" w:lineRule="auto"/>
        <w:jc w:val="both"/>
        <w:rPr>
          <w:rFonts w:eastAsia="Calibri"/>
          <w:noProof/>
          <w:lang w:val="es-DO"/>
        </w:rPr>
      </w:pPr>
      <w:r w:rsidRPr="00232EBB">
        <w:rPr>
          <w:rFonts w:eastAsia="Calibri"/>
          <w:noProof/>
          <w:lang w:val="es-DO"/>
        </w:rPr>
        <w:t xml:space="preserve">Con el objetivo de reducir las brechas en el reporte y pago de aportes a la seguridad social y promover el uso adecuado de nuestras plataformas, desarrollamos más de 80 jornadas de capacitación, impactando a </w:t>
      </w:r>
      <w:r w:rsidR="004259A7">
        <w:rPr>
          <w:rFonts w:eastAsia="Calibri"/>
          <w:noProof/>
          <w:lang w:val="es-DO"/>
        </w:rPr>
        <w:t>6,690</w:t>
      </w:r>
      <w:r w:rsidRPr="00232EBB">
        <w:rPr>
          <w:rFonts w:eastAsia="Calibri"/>
          <w:noProof/>
          <w:lang w:val="es-DO"/>
        </w:rPr>
        <w:t xml:space="preserve"> representantes, estudiantes universitarios y afiliados del SDSS. Estas acciones representaron un total de </w:t>
      </w:r>
      <w:r w:rsidR="004259A7">
        <w:rPr>
          <w:rFonts w:eastAsia="Calibri"/>
          <w:noProof/>
          <w:lang w:val="es-DO"/>
        </w:rPr>
        <w:t>27,725</w:t>
      </w:r>
      <w:r w:rsidRPr="00232EBB">
        <w:rPr>
          <w:rFonts w:eastAsia="Calibri"/>
          <w:noProof/>
          <w:lang w:val="es-DO"/>
        </w:rPr>
        <w:t xml:space="preserve"> horas/hombre dedicadas a fortalecer sus conocimientos sobre el manejo del Sistema Único de Información y Recaudo (SUIR),</w:t>
      </w:r>
      <w:r w:rsidR="00720E40" w:rsidRPr="00232EBB">
        <w:rPr>
          <w:rFonts w:eastAsia="Calibri"/>
          <w:noProof/>
          <w:lang w:val="es-DO"/>
        </w:rPr>
        <w:t xml:space="preserve"> la </w:t>
      </w:r>
    </w:p>
    <w:p w14:paraId="120914D2" w14:textId="621E4A50" w:rsidR="007100F9" w:rsidRPr="00232EBB" w:rsidRDefault="007100F9" w:rsidP="007100F9">
      <w:pPr>
        <w:spacing w:line="360" w:lineRule="auto"/>
        <w:jc w:val="both"/>
        <w:rPr>
          <w:rFonts w:eastAsia="Calibri"/>
          <w:noProof/>
          <w:lang w:val="es-DO"/>
        </w:rPr>
      </w:pPr>
      <w:r w:rsidRPr="00232EBB">
        <w:rPr>
          <w:rFonts w:eastAsia="Calibri"/>
          <w:noProof/>
          <w:lang w:val="es-DO"/>
        </w:rPr>
        <w:t>Oficina Virtual TSS, la Plataforma de Servicios en Línea y sus responsabilidades dentro del Sistema Dominicano de Seguridad Social.</w:t>
      </w:r>
    </w:p>
    <w:p w14:paraId="5FE63079" w14:textId="62C65B2C" w:rsidR="00E06A41" w:rsidRPr="00232EBB" w:rsidRDefault="00E06A41" w:rsidP="00865274">
      <w:pPr>
        <w:spacing w:before="240" w:after="240" w:line="360" w:lineRule="auto"/>
        <w:rPr>
          <w:rFonts w:eastAsia="Calibri"/>
          <w:b/>
          <w:bCs/>
          <w:lang w:val="es-DO"/>
        </w:rPr>
      </w:pPr>
      <w:r w:rsidRPr="00232EBB">
        <w:rPr>
          <w:rFonts w:eastAsia="Calibri"/>
          <w:b/>
          <w:bCs/>
          <w:lang w:val="es-DO"/>
        </w:rPr>
        <w:t>Logros Acumulados de la Gestión</w:t>
      </w:r>
    </w:p>
    <w:p w14:paraId="26D6AD15" w14:textId="6ABE03FA" w:rsidR="00671F4B" w:rsidRPr="00232EBB" w:rsidRDefault="00671F4B" w:rsidP="00862F3D">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 xml:space="preserve">Al </w:t>
      </w:r>
      <w:r w:rsidR="005F051C" w:rsidRPr="00232EBB">
        <w:rPr>
          <w:rFonts w:ascii="Times New Roman" w:hAnsi="Times New Roman"/>
          <w:noProof/>
          <w:color w:val="767171"/>
          <w:spacing w:val="20"/>
          <w:sz w:val="24"/>
          <w:szCs w:val="24"/>
        </w:rPr>
        <w:t>cierre de</w:t>
      </w:r>
      <w:r w:rsidRPr="00232EBB">
        <w:rPr>
          <w:rFonts w:ascii="Times New Roman" w:hAnsi="Times New Roman"/>
          <w:noProof/>
          <w:color w:val="767171"/>
          <w:spacing w:val="20"/>
          <w:sz w:val="24"/>
          <w:szCs w:val="24"/>
        </w:rPr>
        <w:t xml:space="preserve"> diciembre de 2025, los ingresos  recaudados acumulados por la Tesorería de la Seguridad Social </w:t>
      </w:r>
      <w:r w:rsidR="000B4C2E">
        <w:rPr>
          <w:rFonts w:ascii="Times New Roman" w:hAnsi="Times New Roman"/>
          <w:noProof/>
          <w:color w:val="767171"/>
          <w:spacing w:val="20"/>
          <w:sz w:val="24"/>
          <w:szCs w:val="24"/>
        </w:rPr>
        <w:t>ascienden al</w:t>
      </w:r>
      <w:r w:rsidR="009B2F63" w:rsidRPr="00232EBB">
        <w:rPr>
          <w:rFonts w:ascii="Times New Roman" w:hAnsi="Times New Roman"/>
          <w:noProof/>
          <w:color w:val="767171"/>
          <w:spacing w:val="20"/>
          <w:sz w:val="24"/>
          <w:szCs w:val="24"/>
        </w:rPr>
        <w:t xml:space="preserve"> </w:t>
      </w:r>
      <w:r w:rsidR="009B2F63" w:rsidRPr="00232EBB">
        <w:rPr>
          <w:rFonts w:ascii="Times New Roman" w:hAnsi="Times New Roman"/>
          <w:noProof/>
          <w:color w:val="767171"/>
          <w:spacing w:val="20"/>
          <w:sz w:val="24"/>
          <w:szCs w:val="24"/>
        </w:rPr>
        <w:lastRenderedPageBreak/>
        <w:t xml:space="preserve">monto de </w:t>
      </w:r>
      <w:r w:rsidRPr="00232EBB">
        <w:rPr>
          <w:rFonts w:ascii="Times New Roman" w:hAnsi="Times New Roman"/>
          <w:noProof/>
          <w:color w:val="767171"/>
          <w:spacing w:val="20"/>
          <w:sz w:val="24"/>
          <w:szCs w:val="24"/>
        </w:rPr>
        <w:t>RD$</w:t>
      </w:r>
      <w:r w:rsidR="000B4C2E">
        <w:rPr>
          <w:rFonts w:ascii="Times New Roman" w:hAnsi="Times New Roman"/>
          <w:noProof/>
          <w:color w:val="767171"/>
          <w:spacing w:val="20"/>
          <w:sz w:val="24"/>
          <w:szCs w:val="24"/>
        </w:rPr>
        <w:t>232,454,461,655.80</w:t>
      </w:r>
      <w:r w:rsidRPr="00232EBB">
        <w:rPr>
          <w:rFonts w:ascii="Times New Roman" w:hAnsi="Times New Roman"/>
          <w:noProof/>
          <w:color w:val="767171"/>
          <w:spacing w:val="20"/>
          <w:sz w:val="24"/>
          <w:szCs w:val="24"/>
        </w:rPr>
        <w:t xml:space="preserve"> a diferencia del 2024 que, a esta fecha, las recaudaciones acumuladas </w:t>
      </w:r>
      <w:r w:rsidR="00524D62">
        <w:rPr>
          <w:rFonts w:ascii="Times New Roman" w:hAnsi="Times New Roman"/>
          <w:noProof/>
          <w:color w:val="767171"/>
          <w:spacing w:val="20"/>
          <w:sz w:val="24"/>
          <w:szCs w:val="24"/>
        </w:rPr>
        <w:t xml:space="preserve">fueron </w:t>
      </w:r>
      <w:r w:rsidRPr="00232EBB">
        <w:rPr>
          <w:rFonts w:ascii="Times New Roman" w:hAnsi="Times New Roman"/>
          <w:noProof/>
          <w:color w:val="767171"/>
          <w:spacing w:val="20"/>
          <w:sz w:val="24"/>
          <w:szCs w:val="24"/>
        </w:rPr>
        <w:t xml:space="preserve">un total de </w:t>
      </w:r>
      <w:r w:rsidRPr="00F27B70">
        <w:rPr>
          <w:rFonts w:ascii="Times New Roman" w:hAnsi="Times New Roman"/>
          <w:noProof/>
          <w:color w:val="767171"/>
          <w:spacing w:val="20"/>
          <w:sz w:val="24"/>
          <w:szCs w:val="24"/>
        </w:rPr>
        <w:t>RD$</w:t>
      </w:r>
      <w:r w:rsidR="00F27B70" w:rsidRPr="00F27B70">
        <w:rPr>
          <w:rFonts w:ascii="Times New Roman" w:hAnsi="Times New Roman"/>
          <w:noProof/>
          <w:color w:val="767171"/>
          <w:spacing w:val="20"/>
          <w:sz w:val="24"/>
          <w:szCs w:val="24"/>
        </w:rPr>
        <w:t>211,618,577,731.84</w:t>
      </w:r>
    </w:p>
    <w:p w14:paraId="4AF41018" w14:textId="31F204F9" w:rsidR="00D17C5C" w:rsidRPr="00232EBB" w:rsidRDefault="00D17C5C" w:rsidP="00862F3D">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 xml:space="preserve">Disponibilidad de la plataforma Sistema Único de Información y Recaudo (SUIR) para el </w:t>
      </w:r>
      <w:r w:rsidR="00444FB5" w:rsidRPr="00232EBB">
        <w:rPr>
          <w:rFonts w:ascii="Times New Roman" w:hAnsi="Times New Roman"/>
          <w:noProof/>
          <w:color w:val="767171"/>
          <w:spacing w:val="20"/>
          <w:sz w:val="24"/>
          <w:szCs w:val="24"/>
        </w:rPr>
        <w:t>per</w:t>
      </w:r>
      <w:r w:rsidR="00285F62" w:rsidRPr="00232EBB">
        <w:rPr>
          <w:rFonts w:ascii="Times New Roman" w:hAnsi="Times New Roman"/>
          <w:noProof/>
          <w:color w:val="767171"/>
          <w:spacing w:val="20"/>
          <w:sz w:val="24"/>
          <w:szCs w:val="24"/>
        </w:rPr>
        <w:t>í</w:t>
      </w:r>
      <w:r w:rsidR="00444FB5" w:rsidRPr="00232EBB">
        <w:rPr>
          <w:rFonts w:ascii="Times New Roman" w:hAnsi="Times New Roman"/>
          <w:noProof/>
          <w:color w:val="767171"/>
          <w:spacing w:val="20"/>
          <w:sz w:val="24"/>
          <w:szCs w:val="24"/>
        </w:rPr>
        <w:t>odo</w:t>
      </w:r>
      <w:r w:rsidRPr="00232EBB">
        <w:rPr>
          <w:rFonts w:ascii="Times New Roman" w:hAnsi="Times New Roman"/>
          <w:noProof/>
          <w:color w:val="767171"/>
          <w:spacing w:val="20"/>
          <w:sz w:val="24"/>
          <w:szCs w:val="24"/>
        </w:rPr>
        <w:t xml:space="preserve"> 202</w:t>
      </w:r>
      <w:r w:rsidR="00601C63" w:rsidRPr="00232EBB">
        <w:rPr>
          <w:rFonts w:ascii="Times New Roman" w:hAnsi="Times New Roman"/>
          <w:noProof/>
          <w:color w:val="767171"/>
          <w:spacing w:val="20"/>
          <w:sz w:val="24"/>
          <w:szCs w:val="24"/>
        </w:rPr>
        <w:t>5</w:t>
      </w:r>
      <w:r w:rsidRPr="00232EBB">
        <w:rPr>
          <w:rFonts w:ascii="Times New Roman" w:hAnsi="Times New Roman"/>
          <w:noProof/>
          <w:color w:val="767171"/>
          <w:spacing w:val="20"/>
          <w:sz w:val="24"/>
          <w:szCs w:val="24"/>
        </w:rPr>
        <w:t xml:space="preserve"> ha sido un 9</w:t>
      </w:r>
      <w:r w:rsidR="00ED147E" w:rsidRPr="00232EBB">
        <w:rPr>
          <w:rFonts w:ascii="Times New Roman" w:hAnsi="Times New Roman"/>
          <w:noProof/>
          <w:color w:val="767171"/>
          <w:spacing w:val="20"/>
          <w:sz w:val="24"/>
          <w:szCs w:val="24"/>
        </w:rPr>
        <w:t>8.</w:t>
      </w:r>
      <w:r w:rsidR="00B06348">
        <w:rPr>
          <w:rFonts w:ascii="Times New Roman" w:hAnsi="Times New Roman"/>
          <w:noProof/>
          <w:color w:val="767171"/>
          <w:spacing w:val="20"/>
          <w:sz w:val="24"/>
          <w:szCs w:val="24"/>
        </w:rPr>
        <w:t>77</w:t>
      </w:r>
      <w:r w:rsidRPr="00232EBB">
        <w:rPr>
          <w:rFonts w:ascii="Times New Roman" w:hAnsi="Times New Roman"/>
          <w:noProof/>
          <w:color w:val="767171"/>
          <w:spacing w:val="20"/>
          <w:sz w:val="24"/>
          <w:szCs w:val="24"/>
        </w:rPr>
        <w:t>% permitiendo que los empleadores realicen las diferentes gestiones.</w:t>
      </w:r>
    </w:p>
    <w:p w14:paraId="7E2E5AD8" w14:textId="06A858AE" w:rsidR="002F2EFE" w:rsidRPr="00232EBB" w:rsidRDefault="002F2EFE" w:rsidP="00862F3D">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 xml:space="preserve">De los servicios tramitados a nuestros usuarios, al </w:t>
      </w:r>
      <w:r w:rsidR="007868E5" w:rsidRPr="00232EBB">
        <w:rPr>
          <w:rFonts w:ascii="Times New Roman" w:hAnsi="Times New Roman"/>
          <w:noProof/>
          <w:color w:val="767171"/>
          <w:spacing w:val="20"/>
          <w:sz w:val="24"/>
          <w:szCs w:val="24"/>
        </w:rPr>
        <w:t>cierre</w:t>
      </w:r>
      <w:r w:rsidRPr="00232EBB">
        <w:rPr>
          <w:rFonts w:ascii="Times New Roman" w:hAnsi="Times New Roman"/>
          <w:noProof/>
          <w:color w:val="767171"/>
          <w:spacing w:val="20"/>
          <w:sz w:val="24"/>
          <w:szCs w:val="24"/>
        </w:rPr>
        <w:t xml:space="preserve"> del año 2025, hemos gestionado un total de </w:t>
      </w:r>
      <w:r w:rsidR="0039280A">
        <w:rPr>
          <w:rFonts w:ascii="Times New Roman" w:hAnsi="Times New Roman"/>
          <w:noProof/>
          <w:color w:val="767171"/>
          <w:spacing w:val="20"/>
          <w:sz w:val="24"/>
          <w:szCs w:val="24"/>
        </w:rPr>
        <w:t>13,415</w:t>
      </w:r>
      <w:r w:rsidRPr="00232EBB">
        <w:rPr>
          <w:rFonts w:ascii="Times New Roman" w:hAnsi="Times New Roman"/>
          <w:noProof/>
          <w:color w:val="767171"/>
          <w:spacing w:val="20"/>
          <w:sz w:val="24"/>
          <w:szCs w:val="24"/>
        </w:rPr>
        <w:t xml:space="preserve"> solicitudes de registro de empleadores vía los distintos canales de comunicación, logrando un impresionante porcentaje de cumplimiento del 99% de respuesta en menos de 3 días laborables y hemos </w:t>
      </w:r>
      <w:r w:rsidR="0039280A" w:rsidRPr="00C20B96">
        <w:rPr>
          <w:rFonts w:ascii="Times New Roman" w:hAnsi="Times New Roman"/>
          <w:noProof/>
          <w:color w:val="767171"/>
          <w:spacing w:val="20"/>
          <w:sz w:val="24"/>
          <w:szCs w:val="24"/>
        </w:rPr>
        <w:t>1,582,437</w:t>
      </w:r>
      <w:r w:rsidRPr="0039280A">
        <w:rPr>
          <w:rFonts w:ascii="Times New Roman" w:hAnsi="Times New Roman"/>
          <w:noProof/>
          <w:color w:val="70AD47" w:themeColor="accent6"/>
          <w:spacing w:val="20"/>
          <w:sz w:val="24"/>
          <w:szCs w:val="24"/>
        </w:rPr>
        <w:t xml:space="preserve"> </w:t>
      </w:r>
      <w:r w:rsidRPr="00232EBB">
        <w:rPr>
          <w:rFonts w:ascii="Times New Roman" w:hAnsi="Times New Roman"/>
          <w:noProof/>
          <w:color w:val="767171"/>
          <w:spacing w:val="20"/>
          <w:sz w:val="24"/>
          <w:szCs w:val="24"/>
        </w:rPr>
        <w:t>certificaciones automáticas y manuales sobre aporte empleado, aporte personal, balance al día, NSS a extranjero, registro sin nómina, entre otras con un porcentaje de cumplimiento sostenible del 100% dentro del plazo comprometido.</w:t>
      </w:r>
    </w:p>
    <w:p w14:paraId="02BEDE13" w14:textId="77777777" w:rsidR="002F2EFE" w:rsidRPr="00232EBB" w:rsidRDefault="002F2EFE" w:rsidP="00862F3D">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Hemos optimizado nuestros tiempos de atención a las solicitudes vía el Centro de Asistencia a Empleador gestionando respuestas a llamadas, chats y correo de servicio al usuario con una tasa de éxito histórica del 97.89% y con tiempos de espera que antes superaban los quince (15) minutos a un tiempo no mayor de un (1) minuto en promedio.</w:t>
      </w:r>
    </w:p>
    <w:p w14:paraId="4AB461DD" w14:textId="1B04AB7C" w:rsidR="00DE17AD" w:rsidRPr="00232EBB" w:rsidRDefault="00524D62" w:rsidP="00567A02">
      <w:pPr>
        <w:pStyle w:val="ListParagraph"/>
        <w:numPr>
          <w:ilvl w:val="0"/>
          <w:numId w:val="1"/>
        </w:numPr>
        <w:spacing w:before="240" w:line="360" w:lineRule="auto"/>
        <w:ind w:left="432"/>
        <w:rPr>
          <w:rFonts w:ascii="Times New Roman" w:hAnsi="Times New Roman"/>
          <w:noProof/>
          <w:color w:val="767171"/>
          <w:spacing w:val="20"/>
          <w:sz w:val="24"/>
          <w:szCs w:val="24"/>
        </w:rPr>
      </w:pPr>
      <w:r>
        <w:rPr>
          <w:rFonts w:ascii="Times New Roman" w:hAnsi="Times New Roman"/>
          <w:noProof/>
          <w:color w:val="767171"/>
          <w:spacing w:val="20"/>
          <w:sz w:val="24"/>
          <w:szCs w:val="24"/>
        </w:rPr>
        <w:t>L</w:t>
      </w:r>
      <w:r w:rsidR="008B2563" w:rsidRPr="00232EBB">
        <w:rPr>
          <w:rFonts w:ascii="Times New Roman" w:hAnsi="Times New Roman"/>
          <w:noProof/>
          <w:color w:val="767171"/>
          <w:spacing w:val="20"/>
          <w:sz w:val="24"/>
          <w:szCs w:val="24"/>
        </w:rPr>
        <w:t>os</w:t>
      </w:r>
      <w:r w:rsidR="00DE17AD" w:rsidRPr="00232EBB">
        <w:rPr>
          <w:rFonts w:ascii="Times New Roman" w:hAnsi="Times New Roman"/>
          <w:noProof/>
          <w:color w:val="767171"/>
          <w:spacing w:val="20"/>
          <w:sz w:val="24"/>
          <w:szCs w:val="24"/>
        </w:rPr>
        <w:t xml:space="preserve"> soportes brindados por nuestro equipo gestor suman al cierre del 2025 un total de </w:t>
      </w:r>
      <w:r w:rsidR="00C20B96">
        <w:rPr>
          <w:rFonts w:ascii="Times New Roman" w:hAnsi="Times New Roman"/>
          <w:noProof/>
          <w:color w:val="767171"/>
          <w:spacing w:val="20"/>
          <w:sz w:val="24"/>
          <w:szCs w:val="24"/>
        </w:rPr>
        <w:t>155,250</w:t>
      </w:r>
      <w:r w:rsidR="00DE17AD" w:rsidRPr="00232EBB">
        <w:rPr>
          <w:rFonts w:ascii="Times New Roman" w:hAnsi="Times New Roman"/>
          <w:noProof/>
          <w:color w:val="767171"/>
          <w:spacing w:val="20"/>
          <w:sz w:val="24"/>
          <w:szCs w:val="24"/>
        </w:rPr>
        <w:t xml:space="preserve"> llamadas y chats con un cierre de brecha significativo en comparación con el año 2022 y 2023 donde la tasa de abandono del Centro de Asistencia al Usuario se ha ido reduciendo de un 53% en 2022 a un 11% en 2023 y en este 2025 a solo un 2%.</w:t>
      </w:r>
    </w:p>
    <w:p w14:paraId="6FF0EAD7" w14:textId="12DF2698" w:rsidR="002F2EFE" w:rsidRPr="00232EBB" w:rsidRDefault="00BA1429" w:rsidP="00BA1429">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 xml:space="preserve">Con el objetivo de reducir las brechas en el reporte y pago de aportes a la seguridad social y promover el uso adecuado de nuestras </w:t>
      </w:r>
      <w:r w:rsidRPr="00232EBB">
        <w:rPr>
          <w:rFonts w:ascii="Times New Roman" w:hAnsi="Times New Roman"/>
          <w:noProof/>
          <w:color w:val="767171"/>
          <w:spacing w:val="20"/>
          <w:sz w:val="24"/>
          <w:szCs w:val="24"/>
        </w:rPr>
        <w:lastRenderedPageBreak/>
        <w:t>plataformas, desarrollamos más de 80 jornadas de capacitación, impactando a 6,</w:t>
      </w:r>
      <w:r w:rsidR="00C20B96">
        <w:rPr>
          <w:rFonts w:ascii="Times New Roman" w:hAnsi="Times New Roman"/>
          <w:noProof/>
          <w:color w:val="767171"/>
          <w:spacing w:val="20"/>
          <w:sz w:val="24"/>
          <w:szCs w:val="24"/>
        </w:rPr>
        <w:t>960</w:t>
      </w:r>
      <w:r w:rsidRPr="00232EBB">
        <w:rPr>
          <w:rFonts w:ascii="Times New Roman" w:hAnsi="Times New Roman"/>
          <w:noProof/>
          <w:color w:val="767171"/>
          <w:spacing w:val="20"/>
          <w:sz w:val="24"/>
          <w:szCs w:val="24"/>
        </w:rPr>
        <w:t xml:space="preserve"> representantes, estudiantes universitarios y afiliados del SDSS. Estas acciones representaron un total de </w:t>
      </w:r>
      <w:r w:rsidR="00C20B96">
        <w:rPr>
          <w:rFonts w:ascii="Times New Roman" w:hAnsi="Times New Roman"/>
          <w:noProof/>
          <w:color w:val="767171"/>
          <w:spacing w:val="20"/>
          <w:sz w:val="24"/>
          <w:szCs w:val="24"/>
        </w:rPr>
        <w:t>27,725</w:t>
      </w:r>
      <w:r w:rsidRPr="00232EBB">
        <w:rPr>
          <w:rFonts w:ascii="Times New Roman" w:hAnsi="Times New Roman"/>
          <w:noProof/>
          <w:color w:val="767171"/>
          <w:spacing w:val="20"/>
          <w:sz w:val="24"/>
          <w:szCs w:val="24"/>
        </w:rPr>
        <w:t xml:space="preserve"> horas/hombre dedicadas a fortalecer sus conocimientos sobre el manejo del Sistema Único de Información y Recaudo (SUIR), la Oficina Virtual TSS, la Plataforma de Servicios en Línea y sus responsabilidades dentro del Sistema Dominicano de Seguridad Social.</w:t>
      </w:r>
    </w:p>
    <w:p w14:paraId="1BB2C1CF" w14:textId="15D840C1" w:rsidR="002F2EFE" w:rsidRPr="00232EBB" w:rsidRDefault="002F2EFE" w:rsidP="00862F3D">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 xml:space="preserve">Al </w:t>
      </w:r>
      <w:r w:rsidR="007868E5" w:rsidRPr="00232EBB">
        <w:rPr>
          <w:rFonts w:ascii="Times New Roman" w:hAnsi="Times New Roman"/>
          <w:noProof/>
          <w:color w:val="767171"/>
          <w:spacing w:val="20"/>
          <w:sz w:val="24"/>
          <w:szCs w:val="24"/>
        </w:rPr>
        <w:t>cierre del 2025</w:t>
      </w:r>
      <w:r w:rsidRPr="00232EBB">
        <w:rPr>
          <w:rFonts w:ascii="Times New Roman" w:hAnsi="Times New Roman"/>
          <w:noProof/>
          <w:color w:val="767171"/>
          <w:spacing w:val="20"/>
          <w:sz w:val="24"/>
          <w:szCs w:val="24"/>
        </w:rPr>
        <w:t xml:space="preserve">, hemos generado </w:t>
      </w:r>
      <w:r w:rsidR="00F96E80" w:rsidRPr="00F96E80">
        <w:rPr>
          <w:rFonts w:ascii="Times New Roman" w:hAnsi="Times New Roman"/>
          <w:noProof/>
          <w:color w:val="767171"/>
          <w:spacing w:val="20"/>
          <w:sz w:val="24"/>
          <w:szCs w:val="24"/>
        </w:rPr>
        <w:t>1,424</w:t>
      </w:r>
      <w:r w:rsidRPr="00232EBB">
        <w:rPr>
          <w:rFonts w:ascii="Times New Roman" w:hAnsi="Times New Roman"/>
          <w:noProof/>
          <w:color w:val="767171"/>
          <w:spacing w:val="20"/>
          <w:sz w:val="24"/>
          <w:szCs w:val="24"/>
        </w:rPr>
        <w:t xml:space="preserve"> Acuerdos de Pagos a empleadores con deudas, alcanzando a modo general un recaudo de Trescientos </w:t>
      </w:r>
      <w:r w:rsidR="00F96E80">
        <w:rPr>
          <w:rFonts w:ascii="Times New Roman" w:hAnsi="Times New Roman"/>
          <w:noProof/>
          <w:color w:val="767171"/>
          <w:spacing w:val="20"/>
          <w:sz w:val="24"/>
          <w:szCs w:val="24"/>
        </w:rPr>
        <w:t>Sesenta y Dos Millones Trescientos Noventa Mil Novecientos Noventa y Oco Pesos Dominicanos con 00/100 (RD$362,390,998.00).</w:t>
      </w:r>
      <w:r w:rsidR="00C20B96">
        <w:rPr>
          <w:rFonts w:ascii="Times New Roman" w:hAnsi="Times New Roman"/>
          <w:noProof/>
          <w:color w:val="767171"/>
          <w:spacing w:val="20"/>
          <w:sz w:val="24"/>
          <w:szCs w:val="24"/>
        </w:rPr>
        <w:t xml:space="preserve"> </w:t>
      </w:r>
      <w:r w:rsidRPr="00232EBB">
        <w:rPr>
          <w:rFonts w:ascii="Times New Roman" w:hAnsi="Times New Roman"/>
          <w:noProof/>
          <w:color w:val="767171"/>
          <w:spacing w:val="20"/>
          <w:sz w:val="24"/>
          <w:szCs w:val="24"/>
        </w:rPr>
        <w:t>Mediante</w:t>
      </w:r>
      <w:r w:rsidR="00F96E80">
        <w:rPr>
          <w:rFonts w:ascii="Times New Roman" w:hAnsi="Times New Roman"/>
          <w:noProof/>
          <w:color w:val="767171"/>
          <w:spacing w:val="20"/>
          <w:sz w:val="24"/>
          <w:szCs w:val="24"/>
        </w:rPr>
        <w:t xml:space="preserve"> </w:t>
      </w:r>
      <w:r w:rsidRPr="00232EBB">
        <w:rPr>
          <w:rFonts w:ascii="Times New Roman" w:hAnsi="Times New Roman"/>
          <w:noProof/>
          <w:color w:val="767171"/>
          <w:spacing w:val="20"/>
          <w:sz w:val="24"/>
          <w:szCs w:val="24"/>
        </w:rPr>
        <w:t>esta modalidad de pago concedida por la TSS a los empleadores, cerca de 1</w:t>
      </w:r>
      <w:r w:rsidR="00F96E80">
        <w:rPr>
          <w:rFonts w:ascii="Times New Roman" w:hAnsi="Times New Roman"/>
          <w:noProof/>
          <w:color w:val="767171"/>
          <w:spacing w:val="20"/>
          <w:sz w:val="24"/>
          <w:szCs w:val="24"/>
        </w:rPr>
        <w:t>4</w:t>
      </w:r>
      <w:r w:rsidRPr="00232EBB">
        <w:rPr>
          <w:rFonts w:ascii="Times New Roman" w:hAnsi="Times New Roman"/>
          <w:noProof/>
          <w:color w:val="767171"/>
          <w:spacing w:val="20"/>
          <w:sz w:val="24"/>
          <w:szCs w:val="24"/>
        </w:rPr>
        <w:t xml:space="preserve"> mil trabajadores y sus dependientes lograron acceder nuevamente a los beneficios que brinda el Seguro Familiar de Salud (SFS) del Régimen Contributivo.</w:t>
      </w:r>
    </w:p>
    <w:p w14:paraId="6ED26410" w14:textId="398BDDA4" w:rsidR="002F2EFE" w:rsidRPr="00232EBB" w:rsidRDefault="002F2EFE" w:rsidP="00862F3D">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Se tramitaron </w:t>
      </w:r>
      <w:r w:rsidR="00F96E80">
        <w:rPr>
          <w:rFonts w:ascii="Times New Roman" w:hAnsi="Times New Roman"/>
          <w:noProof/>
          <w:color w:val="767171"/>
          <w:spacing w:val="20"/>
          <w:sz w:val="24"/>
          <w:szCs w:val="24"/>
        </w:rPr>
        <w:t>115</w:t>
      </w:r>
      <w:r w:rsidRPr="00232EBB">
        <w:rPr>
          <w:rFonts w:ascii="Times New Roman" w:hAnsi="Times New Roman"/>
          <w:noProof/>
          <w:color w:val="767171"/>
          <w:spacing w:val="20"/>
          <w:sz w:val="24"/>
          <w:szCs w:val="24"/>
        </w:rPr>
        <w:t xml:space="preserve"> Contratos y se gestionaron exitosamente </w:t>
      </w:r>
      <w:r w:rsidR="00F96E80">
        <w:rPr>
          <w:rFonts w:ascii="Times New Roman" w:hAnsi="Times New Roman"/>
          <w:noProof/>
          <w:color w:val="767171"/>
          <w:spacing w:val="20"/>
          <w:sz w:val="24"/>
          <w:szCs w:val="24"/>
        </w:rPr>
        <w:t>89</w:t>
      </w:r>
      <w:r w:rsidRPr="00232EBB">
        <w:rPr>
          <w:rFonts w:ascii="Times New Roman" w:hAnsi="Times New Roman"/>
          <w:noProof/>
          <w:color w:val="767171"/>
          <w:spacing w:val="20"/>
          <w:sz w:val="24"/>
          <w:szCs w:val="24"/>
        </w:rPr>
        <w:t xml:space="preserve"> certificaciones en la Contraloría General de la República (CGR).</w:t>
      </w:r>
    </w:p>
    <w:p w14:paraId="74F721B4" w14:textId="77777777" w:rsidR="00AB7BF4" w:rsidRPr="00232EBB" w:rsidRDefault="002F2EFE" w:rsidP="00862F3D">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 xml:space="preserve">La TSS apoderó al Tribunal Superior Administrativo (TSA), de 16 demandas en cobro de cotizaciones y recargos vencidos y no </w:t>
      </w:r>
    </w:p>
    <w:p w14:paraId="2AE8078C" w14:textId="03732FA3" w:rsidR="002F2EFE" w:rsidRPr="00232EBB" w:rsidRDefault="002F2EFE" w:rsidP="00C20B96">
      <w:pPr>
        <w:pStyle w:val="ListParagraph"/>
        <w:spacing w:before="240" w:line="360" w:lineRule="auto"/>
        <w:ind w:left="432" w:firstLine="0"/>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pagados al SDSS, en contra de empleadores que presentan atrasos en sus deberes con el Sistema Dominicano de Seguridad Social. </w:t>
      </w:r>
    </w:p>
    <w:p w14:paraId="227656A2" w14:textId="31500E7C" w:rsidR="002F2EFE" w:rsidRPr="00232EBB" w:rsidRDefault="002F2EFE" w:rsidP="00862F3D">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 xml:space="preserve">Se realizaron </w:t>
      </w:r>
      <w:r w:rsidR="003E6AE0">
        <w:rPr>
          <w:rFonts w:ascii="Times New Roman" w:hAnsi="Times New Roman"/>
          <w:noProof/>
          <w:color w:val="767171"/>
          <w:spacing w:val="20"/>
          <w:sz w:val="24"/>
          <w:szCs w:val="24"/>
        </w:rPr>
        <w:t>60</w:t>
      </w:r>
      <w:r w:rsidRPr="00232EBB">
        <w:rPr>
          <w:rFonts w:ascii="Times New Roman" w:hAnsi="Times New Roman"/>
          <w:noProof/>
          <w:color w:val="767171"/>
          <w:spacing w:val="20"/>
          <w:sz w:val="24"/>
          <w:szCs w:val="24"/>
        </w:rPr>
        <w:t>8 intimaciones de pago a empleadores situados en el Gran Santo Domingo, San Cristóbal, Santiago, San Pedro de Macorís, La Romana e Higüey</w:t>
      </w:r>
      <w:r w:rsidR="003E6AE0">
        <w:rPr>
          <w:rFonts w:ascii="Times New Roman" w:hAnsi="Times New Roman"/>
          <w:noProof/>
          <w:color w:val="767171"/>
          <w:spacing w:val="20"/>
          <w:sz w:val="24"/>
          <w:szCs w:val="24"/>
        </w:rPr>
        <w:t>. Como resultado de estas acciones, se a logrado recuperar alrededor de Cuarenta y Cuatro Millones Novecientos Ochenta y Tres Mil Cuatrocientos Diecinueve Pesos Dominicanos con 37/100 (RD$44,983,419.37).</w:t>
      </w:r>
    </w:p>
    <w:p w14:paraId="32B80990" w14:textId="5EFE74C5" w:rsidR="002F2EFE" w:rsidRPr="00232EBB" w:rsidRDefault="002F2EFE" w:rsidP="00862F3D">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 xml:space="preserve">En cumplimiento de nuestras responsabilidades recaudatorias, el área de </w:t>
      </w:r>
      <w:r w:rsidRPr="00232EBB">
        <w:rPr>
          <w:rFonts w:ascii="Times New Roman" w:hAnsi="Times New Roman"/>
          <w:noProof/>
          <w:color w:val="767171"/>
          <w:spacing w:val="20"/>
          <w:sz w:val="24"/>
          <w:szCs w:val="24"/>
        </w:rPr>
        <w:lastRenderedPageBreak/>
        <w:t xml:space="preserve">cobranzas alcanzó la gestión del 100% de las carteras en atraso asignadas, contribuyendo con la eficiencia en el recaudo institucional que alcanzó el </w:t>
      </w:r>
      <w:r w:rsidRPr="005F34C0">
        <w:rPr>
          <w:rFonts w:ascii="Times New Roman" w:hAnsi="Times New Roman"/>
          <w:noProof/>
          <w:color w:val="767171"/>
          <w:spacing w:val="20"/>
          <w:sz w:val="24"/>
          <w:szCs w:val="24"/>
        </w:rPr>
        <w:t>9</w:t>
      </w:r>
      <w:r w:rsidR="00A83093">
        <w:rPr>
          <w:rFonts w:ascii="Times New Roman" w:hAnsi="Times New Roman"/>
          <w:noProof/>
          <w:color w:val="767171"/>
          <w:spacing w:val="20"/>
          <w:sz w:val="24"/>
          <w:szCs w:val="24"/>
        </w:rPr>
        <w:t>8.9</w:t>
      </w:r>
      <w:r w:rsidR="00A83093" w:rsidRPr="00232EBB">
        <w:rPr>
          <w:rFonts w:ascii="Times New Roman" w:hAnsi="Times New Roman"/>
          <w:noProof/>
          <w:color w:val="767171"/>
          <w:spacing w:val="20"/>
          <w:sz w:val="24"/>
          <w:szCs w:val="24"/>
        </w:rPr>
        <w:t xml:space="preserve"> </w:t>
      </w:r>
      <w:r w:rsidRPr="00232EBB">
        <w:rPr>
          <w:rFonts w:ascii="Times New Roman" w:hAnsi="Times New Roman"/>
          <w:noProof/>
          <w:color w:val="767171"/>
          <w:spacing w:val="20"/>
          <w:sz w:val="24"/>
          <w:szCs w:val="24"/>
        </w:rPr>
        <w:t>%.</w:t>
      </w:r>
    </w:p>
    <w:p w14:paraId="798E6209" w14:textId="025E0001" w:rsidR="002F2EFE" w:rsidRPr="00232EBB" w:rsidRDefault="002F2EFE" w:rsidP="00862F3D">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En la auditoría de pre-certificación de las Normas ISO 27001 y 27301 resaltó en su informe final como una de las principales fortalezas la elaboración y correcta implementación de la Tabla de Amortización para los acuerdos de pago por multas. Este instrumento permitió evidenciar un control más eficiente, transparente y sistemático sobre los compromisos de pago asumidos por los empleadores.</w:t>
      </w:r>
    </w:p>
    <w:p w14:paraId="3F458865" w14:textId="38779DBA" w:rsidR="002F2EFE" w:rsidRPr="00232EBB" w:rsidRDefault="002F2EFE" w:rsidP="00862F3D">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En acuerdos de pago se incorporó el sistema automatizado vía la plataforma de servicios y se incluyeron los primeros acuerdos de pago por multa contribuyendo al proceso de recuperación de los recursos adeudados.</w:t>
      </w:r>
    </w:p>
    <w:p w14:paraId="698E5E76" w14:textId="0A1D5C7E" w:rsidR="002F2EFE" w:rsidRPr="00232EBB" w:rsidRDefault="002F2EFE" w:rsidP="003E6AE0">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 xml:space="preserve">Se gestionó la cobranza de un monto aproximado a </w:t>
      </w:r>
      <w:r w:rsidR="003E6AE0">
        <w:rPr>
          <w:rFonts w:ascii="Times New Roman" w:hAnsi="Times New Roman"/>
          <w:noProof/>
          <w:color w:val="767171"/>
          <w:spacing w:val="20"/>
          <w:sz w:val="24"/>
          <w:szCs w:val="24"/>
        </w:rPr>
        <w:t>Cuatro Millones Novecientos Sesenta y Cuatro Mil Quinientos Veintisiete Pesos Dominicanos con 57/100 (RD$4,964,527.57)</w:t>
      </w:r>
      <w:r w:rsidR="003D2C35">
        <w:rPr>
          <w:rFonts w:ascii="Times New Roman" w:hAnsi="Times New Roman"/>
          <w:noProof/>
          <w:color w:val="767171"/>
          <w:spacing w:val="20"/>
          <w:sz w:val="24"/>
          <w:szCs w:val="24"/>
        </w:rPr>
        <w:t>, por concepto de sanciones pecuniarias impuestas por esta TSS, como resultado de procesos sancionadores seguidos a los empleadores infractores.</w:t>
      </w:r>
    </w:p>
    <w:p w14:paraId="691F54FA" w14:textId="77777777" w:rsidR="003D2C35" w:rsidRDefault="00B16BD0" w:rsidP="00862F3D">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 xml:space="preserve">Durante este año logramos la recertificación en la NORTIC A4. </w:t>
      </w:r>
    </w:p>
    <w:p w14:paraId="4A85C3D6" w14:textId="23720B11" w:rsidR="00B16BD0" w:rsidRPr="00232EBB" w:rsidRDefault="00B16BD0" w:rsidP="003D2C35">
      <w:pPr>
        <w:pStyle w:val="ListParagraph"/>
        <w:spacing w:before="240" w:line="360" w:lineRule="auto"/>
        <w:ind w:left="432" w:firstLine="0"/>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En esta evaluación se incorporó el nuevo estándar de interoperabilidad gubernamental mediante la plataforma X-Road, lo que fortalece el intercambio seguro de información entre las entidades del Estado. Asimismo, recibimos la certificación en la NORTIC A6, reafirmando nuestro compromiso con la mejora continua y el cumplimiento de las normativas tecnológicas nacionales.</w:t>
      </w:r>
    </w:p>
    <w:p w14:paraId="01245EE4" w14:textId="77777777" w:rsidR="003F456A" w:rsidRPr="00232EBB" w:rsidRDefault="003F456A" w:rsidP="003F456A">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 xml:space="preserve">Como parte de nuestro compromiso con la innovación y la excelencia, hemos implementado un nuevo portal de servicios online, el cual </w:t>
      </w:r>
      <w:r w:rsidRPr="00232EBB">
        <w:rPr>
          <w:rFonts w:ascii="Times New Roman" w:hAnsi="Times New Roman"/>
          <w:noProof/>
          <w:color w:val="767171"/>
          <w:spacing w:val="20"/>
          <w:sz w:val="24"/>
          <w:szCs w:val="24"/>
        </w:rPr>
        <w:lastRenderedPageBreak/>
        <w:t>permite que el proceso de registro de empresas pueda ser realizado completamente en línea y sin necesidad de desplazamiento del ciudadano.</w:t>
      </w:r>
    </w:p>
    <w:p w14:paraId="7D386F1E" w14:textId="6EBD1BE1" w:rsidR="003F456A" w:rsidRPr="00232EBB" w:rsidRDefault="003F456A" w:rsidP="009823C1">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 xml:space="preserve">En acuerdos de pago se incorporó el sistema automatizado vía la plataforma de servicios y se incluyeron los primeros acuerdos de pago por multa contribuyendo al proceso de recuperación de los recursos adeudados por un monto de </w:t>
      </w:r>
      <w:r w:rsidR="003E6AE0">
        <w:rPr>
          <w:rFonts w:ascii="Times New Roman" w:hAnsi="Times New Roman"/>
          <w:noProof/>
          <w:color w:val="767171"/>
          <w:spacing w:val="20"/>
          <w:sz w:val="24"/>
          <w:szCs w:val="24"/>
        </w:rPr>
        <w:t>Veintidós Millones Ciento Cinco Mil Setecientos Veiente Pesos Dominicanos con 05/100 (RD$22,105,720.05)</w:t>
      </w:r>
      <w:r w:rsidRPr="00232EBB">
        <w:rPr>
          <w:rFonts w:ascii="Times New Roman" w:hAnsi="Times New Roman"/>
          <w:noProof/>
          <w:color w:val="767171"/>
          <w:spacing w:val="20"/>
          <w:sz w:val="24"/>
          <w:szCs w:val="24"/>
        </w:rPr>
        <w:t>, correspondiente a las multas impuestas por</w:t>
      </w:r>
    </w:p>
    <w:p w14:paraId="23FD3AC0" w14:textId="06A16888" w:rsidR="003F456A" w:rsidRPr="00232EBB" w:rsidRDefault="003F456A" w:rsidP="00461AAE">
      <w:pPr>
        <w:pStyle w:val="ListParagraph"/>
        <w:spacing w:before="240" w:line="360" w:lineRule="auto"/>
        <w:ind w:left="432" w:firstLine="0"/>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la SISALRIL, en ocasión a las infracciones cometidas por las Administradoras de Riesgos de Salud (ARS) en perjuicio del Sistema Dominicano de Seguridad Social (SDSS), reafirmando el compromiso con el cumplimiento del marco regulatorio vigente.</w:t>
      </w:r>
    </w:p>
    <w:p w14:paraId="351ED9FB" w14:textId="77777777" w:rsidR="00382670" w:rsidRPr="00232EBB" w:rsidRDefault="003F456A" w:rsidP="003F456A">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Desarrollo e implementación de un módulo especializado para la creación y gestión de credenciales digitales. Este sistema permite automatizar la asignación segura de credenciales para el acceso a</w:t>
      </w:r>
      <w:r w:rsidR="00382670" w:rsidRPr="00232EBB">
        <w:rPr>
          <w:rFonts w:ascii="Times New Roman" w:hAnsi="Times New Roman"/>
          <w:noProof/>
          <w:color w:val="767171"/>
          <w:spacing w:val="20"/>
          <w:sz w:val="24"/>
          <w:szCs w:val="24"/>
        </w:rPr>
        <w:t xml:space="preserve"> </w:t>
      </w:r>
    </w:p>
    <w:p w14:paraId="53A95FBE" w14:textId="3C9B83DF" w:rsidR="003F456A" w:rsidRPr="00232EBB" w:rsidRDefault="00382670" w:rsidP="00382670">
      <w:pPr>
        <w:pStyle w:val="ListParagraph"/>
        <w:spacing w:before="240" w:line="360" w:lineRule="auto"/>
        <w:ind w:left="432" w:firstLine="0"/>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 xml:space="preserve">servicios </w:t>
      </w:r>
      <w:r w:rsidR="003F456A" w:rsidRPr="00232EBB">
        <w:rPr>
          <w:rFonts w:ascii="Times New Roman" w:hAnsi="Times New Roman"/>
          <w:noProof/>
          <w:color w:val="767171"/>
          <w:spacing w:val="20"/>
          <w:sz w:val="24"/>
          <w:szCs w:val="24"/>
        </w:rPr>
        <w:t>interoperables a través de la plataforma X-Road, garantizando autenticación confiable y auditoría de los accesos.</w:t>
      </w:r>
    </w:p>
    <w:p w14:paraId="23CAE6E0" w14:textId="049B407D" w:rsidR="003F456A" w:rsidRPr="00232EBB" w:rsidRDefault="003F456A" w:rsidP="003F456A">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Integración con Carpeta Ciudadana de la OGTIC y con Seguridad</w:t>
      </w:r>
      <w:r w:rsidR="00B609BF" w:rsidRPr="00232EBB">
        <w:rPr>
          <w:rFonts w:ascii="Times New Roman" w:hAnsi="Times New Roman"/>
          <w:noProof/>
          <w:color w:val="767171"/>
          <w:spacing w:val="20"/>
          <w:sz w:val="24"/>
          <w:szCs w:val="24"/>
        </w:rPr>
        <w:t xml:space="preserve"> Ciudadana donde s</w:t>
      </w:r>
      <w:r w:rsidRPr="00232EBB">
        <w:rPr>
          <w:rFonts w:ascii="Times New Roman" w:hAnsi="Times New Roman"/>
          <w:noProof/>
          <w:color w:val="767171"/>
          <w:spacing w:val="20"/>
          <w:sz w:val="24"/>
          <w:szCs w:val="24"/>
        </w:rPr>
        <w:t>e avanzó en los procesos de interoperabilidad para validar información de manera más ágil y segura.</w:t>
      </w:r>
    </w:p>
    <w:p w14:paraId="3A07D39A" w14:textId="7FC47169" w:rsidR="003F456A" w:rsidRPr="00232EBB" w:rsidRDefault="003F456A" w:rsidP="003F456A">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Integración con el MAP a través del portal Concursa</w:t>
      </w:r>
      <w:r w:rsidRPr="00232EBB">
        <w:rPr>
          <w:rFonts w:ascii="Times New Roman" w:hAnsi="Times New Roman"/>
          <w:noProof/>
          <w:color w:val="767171"/>
          <w:spacing w:val="20"/>
          <w:sz w:val="24"/>
          <w:szCs w:val="24"/>
        </w:rPr>
        <w:br/>
        <w:t>para la conexión que permite validar el estatus laboral de los ciudadanos directamente en línea.</w:t>
      </w:r>
    </w:p>
    <w:p w14:paraId="594D8593" w14:textId="5FE2AFAA" w:rsidR="003F456A" w:rsidRPr="00232EBB" w:rsidRDefault="003F456A" w:rsidP="003F456A">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Se rediseñó la interfaz de usuario con un enfoque centrado en la experiencia del usuario (UX/UI), garantizando accesibilidad, facilidad de uso y compatibilidad con dispositivos móviles.</w:t>
      </w:r>
    </w:p>
    <w:p w14:paraId="0E0A2EF3" w14:textId="77777777" w:rsidR="003F456A" w:rsidRPr="00232EBB" w:rsidRDefault="003F456A" w:rsidP="003F456A">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Migración a la nube del 75% de los sistemas de monitoreo</w:t>
      </w:r>
      <w:r w:rsidRPr="00232EBB">
        <w:rPr>
          <w:rFonts w:ascii="Times New Roman" w:hAnsi="Times New Roman"/>
          <w:noProof/>
          <w:color w:val="767171"/>
          <w:spacing w:val="20"/>
          <w:sz w:val="24"/>
          <w:szCs w:val="24"/>
        </w:rPr>
        <w:br/>
        <w:t>Esta migración permite un monitoreo descentralizado y más resiliente de los datacenters institucionales.</w:t>
      </w:r>
    </w:p>
    <w:p w14:paraId="2115925E" w14:textId="49D50257" w:rsidR="003F456A" w:rsidRPr="00232EBB" w:rsidRDefault="003F456A" w:rsidP="006735A9">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lastRenderedPageBreak/>
        <w:t>En el marco de su compromiso con la mejora continua y la transformación digital, la Tesorería de la Seguridad Social (TSS) lanzó su nueva página web institucional, completamente rediseñada para ofrecer una experiencia más moderna, intuitiva y eficiente. Este rediseño responde a las necesidades actuales de los usuarios, ofreciendo una interfaz visual más clara y atractiva, compatible con dispositivos móviles y adaptada a los estándares internacionales de accesibilidad y usabilidad.</w:t>
      </w:r>
    </w:p>
    <w:p w14:paraId="43F94114" w14:textId="77777777" w:rsidR="003F456A" w:rsidRPr="00232EBB" w:rsidRDefault="003F456A" w:rsidP="003F456A">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Fueron incorporados chatbots las llamadas y el chat del Centro de Asistencia al Empleador (implementación completada al 98%) ha permitido ofrecer respuestas rápidas y precisas, disminuyendo tiempos de espera.</w:t>
      </w:r>
    </w:p>
    <w:p w14:paraId="4C428085" w14:textId="77777777" w:rsidR="003F456A" w:rsidRPr="00232EBB" w:rsidRDefault="003F456A" w:rsidP="003F456A">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Se integró el servicio de mensajería a través de WhatsApp, ampliando los puntos de contacto y facilitando el acceso de empleadores y ciudadanos.</w:t>
      </w:r>
    </w:p>
    <w:p w14:paraId="7C0875E0" w14:textId="77777777" w:rsidR="00B609BF" w:rsidRPr="00232EBB" w:rsidRDefault="003F456A" w:rsidP="003F456A">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 xml:space="preserve">Puesto en funcionamiento del servicio de emisión automatizada  </w:t>
      </w:r>
    </w:p>
    <w:p w14:paraId="4C95B5E0" w14:textId="2469705D" w:rsidR="003F456A" w:rsidRPr="00232EBB" w:rsidRDefault="00B609BF" w:rsidP="00B609BF">
      <w:pPr>
        <w:pStyle w:val="ListParagraph"/>
        <w:spacing w:before="240" w:line="360" w:lineRule="auto"/>
        <w:ind w:left="432" w:firstLine="0"/>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 xml:space="preserve">de </w:t>
      </w:r>
      <w:r w:rsidR="003F456A" w:rsidRPr="00232EBB">
        <w:rPr>
          <w:rFonts w:ascii="Times New Roman" w:hAnsi="Times New Roman"/>
          <w:noProof/>
          <w:color w:val="767171"/>
          <w:spacing w:val="20"/>
          <w:sz w:val="24"/>
          <w:szCs w:val="24"/>
        </w:rPr>
        <w:t>notificaciones de pago por multa, fortaleciendo los procesos de control institucional.</w:t>
      </w:r>
    </w:p>
    <w:p w14:paraId="266F2E50" w14:textId="77777777" w:rsidR="003F456A" w:rsidRPr="00232EBB" w:rsidRDefault="003F456A" w:rsidP="003F456A">
      <w:pPr>
        <w:pStyle w:val="ListParagraph"/>
        <w:numPr>
          <w:ilvl w:val="0"/>
          <w:numId w:val="1"/>
        </w:numPr>
        <w:spacing w:before="240" w:line="360" w:lineRule="auto"/>
        <w:ind w:left="432"/>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Implementación de Asistentes Virtuales Inteligentes para la Atención y Análisis Institucional Durante el período, la TSS introdujo dos innovaciones tecnológicas clave: Tessa, la nueva asistente virtual de servicios, y Newton, el asistente de análisis de datos.</w:t>
      </w:r>
    </w:p>
    <w:p w14:paraId="1B9692A2" w14:textId="2D00AB00" w:rsidR="003F456A" w:rsidRPr="00232EBB" w:rsidRDefault="003F456A">
      <w:pPr>
        <w:rPr>
          <w:rFonts w:eastAsia="Calibri"/>
          <w:noProof/>
          <w:lang w:val="es-DO"/>
        </w:rPr>
      </w:pPr>
      <w:r w:rsidRPr="00232EBB">
        <w:rPr>
          <w:noProof/>
          <w:lang w:val="es-DO"/>
        </w:rPr>
        <w:br w:type="page"/>
      </w:r>
    </w:p>
    <w:p w14:paraId="6384D0D4" w14:textId="30046C3A" w:rsidR="00654164" w:rsidRPr="00232EBB" w:rsidRDefault="00CC305A" w:rsidP="00654164">
      <w:pPr>
        <w:pStyle w:val="Heading1"/>
        <w:rPr>
          <w:rFonts w:cs="Times New Roman"/>
          <w:color w:val="4C4747"/>
          <w:lang w:val="es-DO"/>
        </w:rPr>
      </w:pPr>
      <w:bookmarkStart w:id="7" w:name="_Toc216952201"/>
      <w:r w:rsidRPr="00232EBB">
        <w:rPr>
          <w:rFonts w:cs="Times New Roman"/>
          <w:spacing w:val="0"/>
          <w:lang w:val="es-DO"/>
        </w:rPr>
        <w:lastRenderedPageBreak/>
        <w:t xml:space="preserve">II. </w:t>
      </w:r>
      <w:r w:rsidR="00654164" w:rsidRPr="00232EBB">
        <w:rPr>
          <w:rFonts w:cs="Times New Roman"/>
          <w:spacing w:val="0"/>
          <w:lang w:val="es-DO"/>
        </w:rPr>
        <w:t>INFORMACIÓN INSTITUCIONAL</w:t>
      </w:r>
      <w:bookmarkEnd w:id="7"/>
    </w:p>
    <w:p w14:paraId="794C2FD3" w14:textId="133793BD" w:rsidR="00654164" w:rsidRPr="00232EBB" w:rsidRDefault="009E3A89" w:rsidP="00654164">
      <w:pPr>
        <w:jc w:val="both"/>
        <w:rPr>
          <w:rFonts w:eastAsia="Calibri"/>
          <w:color w:val="4C4747"/>
          <w:sz w:val="18"/>
          <w:lang w:val="es-DO"/>
        </w:rPr>
      </w:pPr>
      <w:r w:rsidRPr="00232EBB">
        <w:rPr>
          <w:rFonts w:eastAsia="Calibri"/>
          <w:noProof/>
          <w:color w:val="4C4747"/>
          <w:sz w:val="18"/>
        </w:rPr>
        <mc:AlternateContent>
          <mc:Choice Requires="wps">
            <w:drawing>
              <wp:anchor distT="0" distB="0" distL="114300" distR="114300" simplePos="0" relativeHeight="251658244" behindDoc="0" locked="0" layoutInCell="1" allowOverlap="1" wp14:anchorId="2735667A" wp14:editId="25480F7D">
                <wp:simplePos x="0" y="0"/>
                <wp:positionH relativeFrom="margin">
                  <wp:align>center</wp:align>
                </wp:positionH>
                <wp:positionV relativeFrom="paragraph">
                  <wp:posOffset>24536</wp:posOffset>
                </wp:positionV>
                <wp:extent cx="463550" cy="0"/>
                <wp:effectExtent l="0" t="19050" r="31750" b="1905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3550" cy="0"/>
                        </a:xfrm>
                        <a:prstGeom prst="line">
                          <a:avLst/>
                        </a:prstGeom>
                        <a:noFill/>
                        <a:ln w="28575" algn="ctr">
                          <a:solidFill>
                            <a:srgbClr val="EE2A24"/>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7F244C" id="Straight Connector 8" o:spid="_x0000_s1026" style="position:absolute;z-index:2516582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from="0,1.95pt" to="36.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" strokecolor="#ee2a24" strokeweight="2.25pt">
                <v:stroke joinstyle="miter"/>
                <w10:wrap anchorx="margin"/>
              </v:line>
            </w:pict>
          </mc:Fallback>
        </mc:AlternateContent>
      </w:r>
    </w:p>
    <w:p w14:paraId="7AD3B78C" w14:textId="2A0C8CE3" w:rsidR="00654164" w:rsidRPr="00232EBB" w:rsidRDefault="00654164" w:rsidP="006C48BC">
      <w:pPr>
        <w:pStyle w:val="ListParagraph"/>
        <w:spacing w:line="259" w:lineRule="auto"/>
        <w:ind w:firstLine="0"/>
        <w:jc w:val="center"/>
        <w:rPr>
          <w:rFonts w:ascii="Times New Roman" w:eastAsiaTheme="minorHAnsi" w:hAnsi="Times New Roman"/>
          <w:color w:val="767171"/>
          <w:spacing w:val="20"/>
          <w:sz w:val="24"/>
          <w:szCs w:val="24"/>
        </w:rPr>
      </w:pPr>
      <w:r w:rsidRPr="00232EBB">
        <w:rPr>
          <w:rFonts w:ascii="Times New Roman" w:eastAsiaTheme="minorHAnsi" w:hAnsi="Times New Roman"/>
          <w:color w:val="767171"/>
          <w:spacing w:val="20"/>
          <w:sz w:val="24"/>
          <w:szCs w:val="24"/>
        </w:rPr>
        <w:t xml:space="preserve">Memoria </w:t>
      </w:r>
      <w:r w:rsidR="00D837AC" w:rsidRPr="00232EBB">
        <w:rPr>
          <w:rFonts w:ascii="Times New Roman" w:eastAsiaTheme="minorHAnsi" w:hAnsi="Times New Roman"/>
          <w:color w:val="767171"/>
          <w:spacing w:val="20"/>
          <w:sz w:val="24"/>
          <w:szCs w:val="24"/>
        </w:rPr>
        <w:t>I</w:t>
      </w:r>
      <w:r w:rsidRPr="00232EBB">
        <w:rPr>
          <w:rFonts w:ascii="Times New Roman" w:eastAsiaTheme="minorHAnsi" w:hAnsi="Times New Roman"/>
          <w:color w:val="767171"/>
          <w:spacing w:val="20"/>
          <w:sz w:val="24"/>
          <w:szCs w:val="24"/>
        </w:rPr>
        <w:t xml:space="preserve">nstitucional </w:t>
      </w:r>
      <w:r w:rsidR="000025D4" w:rsidRPr="00232EBB">
        <w:rPr>
          <w:rFonts w:ascii="Times New Roman" w:eastAsiaTheme="minorHAnsi" w:hAnsi="Times New Roman"/>
          <w:color w:val="767171"/>
          <w:spacing w:val="20"/>
          <w:sz w:val="24"/>
          <w:szCs w:val="24"/>
        </w:rPr>
        <w:t>202</w:t>
      </w:r>
      <w:r w:rsidR="002874E6" w:rsidRPr="00232EBB">
        <w:rPr>
          <w:rFonts w:ascii="Times New Roman" w:eastAsiaTheme="minorHAnsi" w:hAnsi="Times New Roman"/>
          <w:color w:val="767171"/>
          <w:spacing w:val="20"/>
          <w:sz w:val="24"/>
          <w:szCs w:val="24"/>
        </w:rPr>
        <w:t>5</w:t>
      </w:r>
    </w:p>
    <w:p w14:paraId="4B827E01" w14:textId="65F794A5" w:rsidR="003A6D2F" w:rsidRPr="00232EBB" w:rsidRDefault="00CC305A" w:rsidP="009E3A89">
      <w:pPr>
        <w:pStyle w:val="Heading1"/>
        <w:spacing w:after="240" w:line="259" w:lineRule="auto"/>
        <w:jc w:val="left"/>
        <w:rPr>
          <w:rFonts w:cs="Times New Roman"/>
          <w:spacing w:val="0"/>
          <w:lang w:val="es-DO"/>
        </w:rPr>
      </w:pPr>
      <w:bookmarkStart w:id="8" w:name="_Toc154736674"/>
      <w:bookmarkStart w:id="9" w:name="_Toc216952202"/>
      <w:r w:rsidRPr="00232EBB">
        <w:rPr>
          <w:rFonts w:cs="Times New Roman"/>
          <w:spacing w:val="0"/>
          <w:lang w:val="es-DO"/>
        </w:rPr>
        <w:t>2.</w:t>
      </w:r>
      <w:r w:rsidR="00AF6623" w:rsidRPr="00232EBB">
        <w:rPr>
          <w:rFonts w:cs="Times New Roman"/>
          <w:spacing w:val="0"/>
          <w:lang w:val="es-DO"/>
        </w:rPr>
        <w:t>1</w:t>
      </w:r>
      <w:r w:rsidRPr="00232EBB">
        <w:rPr>
          <w:rFonts w:cs="Times New Roman"/>
          <w:spacing w:val="0"/>
          <w:lang w:val="es-DO"/>
        </w:rPr>
        <w:t xml:space="preserve"> </w:t>
      </w:r>
      <w:r w:rsidR="003A6D2F" w:rsidRPr="00232EBB">
        <w:rPr>
          <w:rFonts w:cs="Times New Roman"/>
          <w:spacing w:val="0"/>
          <w:lang w:val="es-DO"/>
        </w:rPr>
        <w:t>Marco Filosófico Institucional</w:t>
      </w:r>
      <w:bookmarkEnd w:id="8"/>
      <w:bookmarkEnd w:id="9"/>
    </w:p>
    <w:p w14:paraId="6828D2A3" w14:textId="585721B2" w:rsidR="003A6D2F" w:rsidRPr="00232EBB" w:rsidRDefault="4C9CBB1A" w:rsidP="003A6D2F">
      <w:pPr>
        <w:spacing w:before="240" w:after="240" w:line="360" w:lineRule="auto"/>
        <w:jc w:val="both"/>
        <w:rPr>
          <w:rFonts w:eastAsia="Calibri"/>
          <w:lang w:val="es-DO"/>
        </w:rPr>
      </w:pPr>
      <w:r w:rsidRPr="00232EBB">
        <w:rPr>
          <w:rFonts w:eastAsia="Calibri"/>
          <w:lang w:val="es-DO"/>
        </w:rPr>
        <w:t>La Tesorería de la Seguridad Social (TSS) es una entidad autónoma y descentralizada del Estado, adscrita al Ministerio de</w:t>
      </w:r>
      <w:r w:rsidR="006E754B" w:rsidRPr="00232EBB">
        <w:rPr>
          <w:rFonts w:eastAsia="Calibri"/>
          <w:lang w:val="es-DO"/>
        </w:rPr>
        <w:t xml:space="preserve"> </w:t>
      </w:r>
      <w:r w:rsidRPr="00232EBB">
        <w:rPr>
          <w:rFonts w:eastAsia="Calibri"/>
          <w:lang w:val="es-DO"/>
        </w:rPr>
        <w:t>Trabajo, dotada de personalidad jurídica, según establece el Art. 28 de la Ley 87-01 modificado mediante el Art. 3 de la Ley 13-20.</w:t>
      </w:r>
    </w:p>
    <w:p w14:paraId="0125B519" w14:textId="77777777" w:rsidR="003A6D2F" w:rsidRPr="00232EBB" w:rsidRDefault="003A6D2F" w:rsidP="003A6D2F">
      <w:pPr>
        <w:spacing w:before="240" w:after="240" w:line="360" w:lineRule="auto"/>
        <w:jc w:val="both"/>
        <w:rPr>
          <w:rFonts w:eastAsia="Calibri"/>
          <w:lang w:val="es-DO"/>
        </w:rPr>
      </w:pPr>
      <w:r w:rsidRPr="00232EBB">
        <w:rPr>
          <w:rFonts w:eastAsia="Calibri"/>
          <w:lang w:val="es-DO"/>
        </w:rPr>
        <w:t>La TSS es la institución responsable de administrar el Sistema Único de Información y Recaudo (SUIR), y la distribución y pago de los recursos del Sistema Dominicano de Seguridad Social (SDSS), mediante una gestión modelo, confiable, enfocada en el servicio y compromiso, con eficiencia y transparencia.</w:t>
      </w:r>
    </w:p>
    <w:p w14:paraId="1EA1398E" w14:textId="77777777" w:rsidR="003A6D2F" w:rsidRPr="00232EBB" w:rsidRDefault="003A6D2F" w:rsidP="009E3A89">
      <w:pPr>
        <w:keepNext/>
        <w:keepLines/>
        <w:spacing w:before="240" w:after="240"/>
        <w:outlineLvl w:val="0"/>
        <w:rPr>
          <w:rFonts w:eastAsiaTheme="majorEastAsia"/>
          <w:b/>
          <w:color w:val="767171" w:themeColor="background2" w:themeShade="80"/>
          <w:spacing w:val="0"/>
          <w:lang w:val="es-DO"/>
        </w:rPr>
      </w:pPr>
      <w:bookmarkStart w:id="10" w:name="_Toc154736675"/>
      <w:bookmarkStart w:id="11" w:name="_Toc216952203"/>
      <w:r w:rsidRPr="00232EBB">
        <w:rPr>
          <w:rFonts w:eastAsiaTheme="majorEastAsia"/>
          <w:b/>
          <w:color w:val="767171" w:themeColor="background2" w:themeShade="80"/>
          <w:spacing w:val="0"/>
          <w:lang w:val="es-DO"/>
        </w:rPr>
        <w:t>Misión</w:t>
      </w:r>
      <w:bookmarkEnd w:id="10"/>
      <w:bookmarkEnd w:id="11"/>
      <w:r w:rsidRPr="00232EBB">
        <w:rPr>
          <w:rFonts w:eastAsiaTheme="majorEastAsia"/>
          <w:b/>
          <w:color w:val="767171" w:themeColor="background2" w:themeShade="80"/>
          <w:spacing w:val="0"/>
          <w:lang w:val="es-DO"/>
        </w:rPr>
        <w:t xml:space="preserve"> </w:t>
      </w:r>
    </w:p>
    <w:p w14:paraId="5DF72434" w14:textId="390D250D" w:rsidR="00BF403A" w:rsidRPr="00232EBB" w:rsidRDefault="00BF403A" w:rsidP="00536A57">
      <w:pPr>
        <w:keepNext/>
        <w:keepLines/>
        <w:spacing w:before="240" w:after="240" w:line="360" w:lineRule="auto"/>
        <w:jc w:val="both"/>
        <w:outlineLvl w:val="0"/>
        <w:rPr>
          <w:rFonts w:eastAsia="Calibri"/>
          <w:lang w:val="es-DO"/>
        </w:rPr>
      </w:pPr>
      <w:bookmarkStart w:id="12" w:name="_Toc216952204"/>
      <w:bookmarkStart w:id="13" w:name="_Toc154736676"/>
      <w:r w:rsidRPr="00232EBB">
        <w:rPr>
          <w:rFonts w:eastAsia="Calibri"/>
          <w:lang w:val="es-DO"/>
        </w:rPr>
        <w:t>Administrar la información y gestionar los recursos financieros del SDSS de forma oportuna, eficiente y transparente, en beneficio de la población afiliada, conforme al marco legal vigente</w:t>
      </w:r>
      <w:r w:rsidR="00C016FC" w:rsidRPr="00232EBB">
        <w:rPr>
          <w:rFonts w:eastAsia="Calibri"/>
          <w:lang w:val="es-DO"/>
        </w:rPr>
        <w:t>.</w:t>
      </w:r>
      <w:bookmarkEnd w:id="12"/>
      <w:r w:rsidRPr="00232EBB">
        <w:rPr>
          <w:rFonts w:eastAsia="Calibri"/>
          <w:lang w:val="es-DO"/>
        </w:rPr>
        <w:t xml:space="preserve"> </w:t>
      </w:r>
    </w:p>
    <w:p w14:paraId="1E28BDE8" w14:textId="40C84475" w:rsidR="003A6D2F" w:rsidRPr="00232EBB" w:rsidRDefault="003A6D2F" w:rsidP="009E3A89">
      <w:pPr>
        <w:keepNext/>
        <w:keepLines/>
        <w:spacing w:before="240" w:after="240"/>
        <w:outlineLvl w:val="0"/>
        <w:rPr>
          <w:rFonts w:eastAsiaTheme="majorEastAsia"/>
          <w:b/>
          <w:color w:val="767171" w:themeColor="background2" w:themeShade="80"/>
          <w:spacing w:val="0"/>
          <w:lang w:val="es-DO"/>
        </w:rPr>
      </w:pPr>
      <w:bookmarkStart w:id="14" w:name="_Toc216952205"/>
      <w:r w:rsidRPr="00232EBB">
        <w:rPr>
          <w:rFonts w:eastAsiaTheme="majorEastAsia"/>
          <w:b/>
          <w:color w:val="767171" w:themeColor="background2" w:themeShade="80"/>
          <w:spacing w:val="0"/>
          <w:lang w:val="es-DO"/>
        </w:rPr>
        <w:t>Visión</w:t>
      </w:r>
      <w:bookmarkEnd w:id="13"/>
      <w:bookmarkEnd w:id="14"/>
      <w:r w:rsidRPr="00232EBB">
        <w:rPr>
          <w:rFonts w:eastAsiaTheme="majorEastAsia"/>
          <w:b/>
          <w:color w:val="767171" w:themeColor="background2" w:themeShade="80"/>
          <w:spacing w:val="0"/>
          <w:lang w:val="es-DO"/>
        </w:rPr>
        <w:t xml:space="preserve"> </w:t>
      </w:r>
    </w:p>
    <w:p w14:paraId="33D4F9EF" w14:textId="02635FDA" w:rsidR="00BF403A" w:rsidRPr="00232EBB" w:rsidRDefault="00BF403A" w:rsidP="00536A57">
      <w:pPr>
        <w:keepNext/>
        <w:keepLines/>
        <w:spacing w:before="240" w:after="240" w:line="360" w:lineRule="auto"/>
        <w:jc w:val="both"/>
        <w:outlineLvl w:val="0"/>
        <w:rPr>
          <w:rFonts w:eastAsia="Calibri"/>
          <w:lang w:val="es-DO"/>
        </w:rPr>
      </w:pPr>
      <w:bookmarkStart w:id="15" w:name="_Toc216952206"/>
      <w:bookmarkStart w:id="16" w:name="_Toc154736677"/>
      <w:r w:rsidRPr="00232EBB">
        <w:rPr>
          <w:rFonts w:eastAsia="Calibri"/>
          <w:lang w:val="es-DO"/>
        </w:rPr>
        <w:t>Ser una entidad resiliente, vanguardista y accesible, reconocida por el manejo transparente y confiable de sus operaciones y recursos, mediante la aplicación de altos estándares de gestión institucional que impacten la calidad de vida de la población</w:t>
      </w:r>
      <w:r w:rsidR="00C016FC" w:rsidRPr="00232EBB">
        <w:rPr>
          <w:rFonts w:eastAsia="Calibri"/>
          <w:lang w:val="es-DO"/>
        </w:rPr>
        <w:t>.</w:t>
      </w:r>
      <w:bookmarkEnd w:id="15"/>
    </w:p>
    <w:p w14:paraId="5089BB2E" w14:textId="2F1AD7C9" w:rsidR="003A6D2F" w:rsidRPr="00232EBB" w:rsidRDefault="003A6D2F" w:rsidP="009E3A89">
      <w:pPr>
        <w:keepNext/>
        <w:keepLines/>
        <w:spacing w:before="240" w:after="240"/>
        <w:outlineLvl w:val="0"/>
        <w:rPr>
          <w:rFonts w:eastAsiaTheme="majorEastAsia"/>
          <w:b/>
          <w:color w:val="767171" w:themeColor="background2" w:themeShade="80"/>
          <w:spacing w:val="0"/>
          <w:lang w:val="es-DO"/>
        </w:rPr>
      </w:pPr>
      <w:bookmarkStart w:id="17" w:name="_Toc216952207"/>
      <w:r w:rsidRPr="00232EBB">
        <w:rPr>
          <w:rFonts w:eastAsiaTheme="majorEastAsia"/>
          <w:b/>
          <w:color w:val="767171" w:themeColor="background2" w:themeShade="80"/>
          <w:spacing w:val="0"/>
          <w:lang w:val="es-DO"/>
        </w:rPr>
        <w:t>Valores</w:t>
      </w:r>
      <w:bookmarkEnd w:id="16"/>
      <w:bookmarkEnd w:id="17"/>
      <w:r w:rsidRPr="00232EBB">
        <w:rPr>
          <w:rFonts w:eastAsiaTheme="majorEastAsia"/>
          <w:b/>
          <w:color w:val="767171" w:themeColor="background2" w:themeShade="80"/>
          <w:spacing w:val="0"/>
          <w:lang w:val="es-DO"/>
        </w:rPr>
        <w:t xml:space="preserve"> </w:t>
      </w:r>
    </w:p>
    <w:p w14:paraId="4EDEB408" w14:textId="77777777" w:rsidR="003A6D2F" w:rsidRPr="00232EBB" w:rsidRDefault="003A6D2F" w:rsidP="003A6D2F">
      <w:pPr>
        <w:spacing w:before="240" w:after="240" w:line="360" w:lineRule="auto"/>
        <w:jc w:val="both"/>
        <w:rPr>
          <w:rFonts w:eastAsia="Calibri"/>
          <w:b/>
          <w:bCs/>
          <w:lang w:val="es-DO"/>
        </w:rPr>
      </w:pPr>
      <w:r w:rsidRPr="00232EBB">
        <w:rPr>
          <w:rFonts w:eastAsia="Calibri"/>
          <w:b/>
          <w:bCs/>
          <w:lang w:val="es-DO"/>
        </w:rPr>
        <w:t>Transparencia:</w:t>
      </w:r>
    </w:p>
    <w:p w14:paraId="737ED31D" w14:textId="6EB9FE0D" w:rsidR="00BF403A" w:rsidRPr="00232EBB" w:rsidRDefault="00BF403A" w:rsidP="009E3A89">
      <w:pPr>
        <w:spacing w:before="240" w:after="240" w:line="360" w:lineRule="auto"/>
        <w:jc w:val="both"/>
        <w:rPr>
          <w:rFonts w:eastAsia="Calibri"/>
          <w:lang w:val="es-DO"/>
        </w:rPr>
      </w:pPr>
      <w:r w:rsidRPr="00232EBB">
        <w:rPr>
          <w:rFonts w:eastAsia="Calibri"/>
          <w:lang w:val="es-DO"/>
        </w:rPr>
        <w:t xml:space="preserve">Promovemos un enfoque de comunicación abierta que le permite a la población acceder a información sin restricciones, aumentando la </w:t>
      </w:r>
      <w:r w:rsidRPr="00232EBB">
        <w:rPr>
          <w:rFonts w:eastAsia="Calibri"/>
          <w:lang w:val="es-DO"/>
        </w:rPr>
        <w:lastRenderedPageBreak/>
        <w:t>visibilidad y promoviendo una presentación clara y concisa de nuestras operaciones que fortalecen la confianza y vínculo con la comunidad</w:t>
      </w:r>
      <w:r w:rsidR="00536A57" w:rsidRPr="00232EBB">
        <w:rPr>
          <w:rFonts w:eastAsia="Calibri"/>
          <w:lang w:val="es-DO"/>
        </w:rPr>
        <w:t>.</w:t>
      </w:r>
    </w:p>
    <w:p w14:paraId="2579ABF3" w14:textId="5891FC09" w:rsidR="003A6D2F" w:rsidRPr="00232EBB" w:rsidRDefault="00BF403A" w:rsidP="009E3A89">
      <w:pPr>
        <w:spacing w:before="240" w:after="240" w:line="360" w:lineRule="auto"/>
        <w:jc w:val="both"/>
        <w:rPr>
          <w:rFonts w:eastAsia="Calibri"/>
          <w:b/>
          <w:bCs/>
          <w:lang w:val="es-DO"/>
        </w:rPr>
      </w:pPr>
      <w:r w:rsidRPr="00232EBB">
        <w:rPr>
          <w:rFonts w:eastAsia="Calibri"/>
          <w:b/>
          <w:bCs/>
          <w:lang w:val="es-DO"/>
        </w:rPr>
        <w:t>Resiliencia:</w:t>
      </w:r>
    </w:p>
    <w:p w14:paraId="18D4BADC" w14:textId="77777777" w:rsidR="00BF403A" w:rsidRPr="00232EBB" w:rsidRDefault="00BF403A" w:rsidP="009E3A89">
      <w:pPr>
        <w:spacing w:before="240" w:after="240" w:line="360" w:lineRule="auto"/>
        <w:jc w:val="both"/>
        <w:rPr>
          <w:rFonts w:eastAsia="Calibri"/>
          <w:lang w:val="es-DO"/>
        </w:rPr>
      </w:pPr>
      <w:r w:rsidRPr="00232EBB">
        <w:rPr>
          <w:rFonts w:eastAsia="Calibri"/>
          <w:lang w:val="es-DO"/>
        </w:rPr>
        <w:t>Asumimos un compromiso inquebrantable para enfrentar los desafíos con valentía y determinación, impulsando iniciativas que fortalezcan nuestra capacidad de adaptación y robustez, mientras fomentamos sinergias y anticipamos cambios para convertir adversidades en oportunidades y gestionar riesgos de manera proactiva.</w:t>
      </w:r>
    </w:p>
    <w:p w14:paraId="44847ABE" w14:textId="1BC04A9D" w:rsidR="003A6D2F" w:rsidRPr="00232EBB" w:rsidRDefault="003A6D2F" w:rsidP="009E3A89">
      <w:pPr>
        <w:spacing w:before="240" w:after="240" w:line="360" w:lineRule="auto"/>
        <w:jc w:val="both"/>
        <w:rPr>
          <w:rFonts w:eastAsia="Calibri"/>
          <w:b/>
          <w:bCs/>
          <w:lang w:val="es-DO"/>
        </w:rPr>
      </w:pPr>
      <w:r w:rsidRPr="00232EBB">
        <w:rPr>
          <w:rFonts w:eastAsia="Calibri"/>
          <w:b/>
          <w:bCs/>
          <w:lang w:val="es-DO"/>
        </w:rPr>
        <w:t> </w:t>
      </w:r>
      <w:r w:rsidR="00BF403A" w:rsidRPr="00232EBB">
        <w:rPr>
          <w:rFonts w:eastAsia="Calibri"/>
          <w:b/>
          <w:bCs/>
          <w:lang w:val="es-DO"/>
        </w:rPr>
        <w:t>Credibilidad:</w:t>
      </w:r>
    </w:p>
    <w:p w14:paraId="45893C73" w14:textId="77777777" w:rsidR="00BF403A" w:rsidRPr="00232EBB" w:rsidRDefault="00BF403A" w:rsidP="009E3A89">
      <w:pPr>
        <w:spacing w:before="240" w:after="240" w:line="360" w:lineRule="auto"/>
        <w:jc w:val="both"/>
        <w:rPr>
          <w:rFonts w:eastAsia="Calibri"/>
          <w:lang w:val="es-DO"/>
        </w:rPr>
      </w:pPr>
      <w:r w:rsidRPr="00232EBB">
        <w:rPr>
          <w:rFonts w:eastAsia="Calibri"/>
          <w:lang w:val="es-DO"/>
        </w:rPr>
        <w:t>Cultivamos nuestra credibilidad mediante la confianza que forjamos a través de la transparencia, la coherencia y el cumplimiento diligente de nuestros compromisos, lo que se traduce en un desempeño institucional caracterizado por integridad y responsabilidad, asegurando que cada acción y decisión esté alineada con nuestros altos estándares de excelencia.</w:t>
      </w:r>
    </w:p>
    <w:p w14:paraId="5858FD76" w14:textId="4D40AF13" w:rsidR="003A6D2F" w:rsidRPr="00232EBB" w:rsidRDefault="003A6D2F" w:rsidP="009E3A89">
      <w:pPr>
        <w:spacing w:before="240" w:after="240" w:line="360" w:lineRule="auto"/>
        <w:jc w:val="both"/>
        <w:rPr>
          <w:rFonts w:eastAsia="Calibri"/>
          <w:b/>
          <w:bCs/>
          <w:lang w:val="es-DO"/>
        </w:rPr>
      </w:pPr>
      <w:r w:rsidRPr="00232EBB">
        <w:rPr>
          <w:rFonts w:eastAsia="Calibri"/>
          <w:b/>
          <w:bCs/>
          <w:lang w:val="es-DO"/>
        </w:rPr>
        <w:t> Innovación:</w:t>
      </w:r>
    </w:p>
    <w:p w14:paraId="62DB136F" w14:textId="77777777" w:rsidR="002766E0" w:rsidRPr="00232EBB" w:rsidRDefault="00BF403A" w:rsidP="00BF403A">
      <w:pPr>
        <w:spacing w:before="240" w:after="240" w:line="360" w:lineRule="auto"/>
        <w:jc w:val="both"/>
        <w:rPr>
          <w:rFonts w:eastAsia="Calibri"/>
          <w:lang w:val="es-DO"/>
        </w:rPr>
      </w:pPr>
      <w:r w:rsidRPr="00232EBB">
        <w:rPr>
          <w:rFonts w:eastAsia="Calibri"/>
          <w:lang w:val="es-DO"/>
        </w:rPr>
        <w:t>Nos encaminamos hacia un futuro audaz y vanguardista, donde las ideas innovadoras se traducen en soluciones efectivas que abordan las necesidades emergentes de nuestros afiliados y beneficiarios, consolidando así nuestro firme compromiso con la excelencia en cada paso del trayecto</w:t>
      </w:r>
      <w:r w:rsidR="00536A57" w:rsidRPr="00232EBB">
        <w:rPr>
          <w:rFonts w:eastAsia="Calibri"/>
          <w:lang w:val="es-DO"/>
        </w:rPr>
        <w:t>.</w:t>
      </w:r>
    </w:p>
    <w:p w14:paraId="27DA30E5" w14:textId="2523A0C3" w:rsidR="00BF403A" w:rsidRPr="00232EBB" w:rsidRDefault="00BF403A" w:rsidP="00BF403A">
      <w:pPr>
        <w:spacing w:before="240" w:after="240" w:line="360" w:lineRule="auto"/>
        <w:jc w:val="both"/>
        <w:rPr>
          <w:rFonts w:eastAsia="Calibri"/>
          <w:lang w:val="es-DO"/>
        </w:rPr>
      </w:pPr>
      <w:r w:rsidRPr="00232EBB">
        <w:rPr>
          <w:rFonts w:eastAsia="Calibri"/>
          <w:b/>
          <w:bCs/>
          <w:lang w:val="es-DO"/>
        </w:rPr>
        <w:t>Compromiso:</w:t>
      </w:r>
    </w:p>
    <w:p w14:paraId="4414CE92" w14:textId="7183A53F" w:rsidR="00BF403A" w:rsidRPr="00232EBB" w:rsidRDefault="00BF403A" w:rsidP="002766E0">
      <w:pPr>
        <w:spacing w:before="240" w:after="240" w:line="360" w:lineRule="auto"/>
        <w:jc w:val="both"/>
        <w:rPr>
          <w:rFonts w:eastAsia="Calibri"/>
          <w:lang w:val="es-DO"/>
        </w:rPr>
      </w:pPr>
      <w:r w:rsidRPr="00232EBB">
        <w:rPr>
          <w:rFonts w:eastAsia="Calibri"/>
          <w:lang w:val="es-DO"/>
        </w:rPr>
        <w:t xml:space="preserve">Es la guía que orienta nuestra misión, reflejándose en una dedicación firme a nuestras responsabilidades, donde cada acción y decisión está </w:t>
      </w:r>
      <w:r w:rsidRPr="00232EBB">
        <w:rPr>
          <w:rFonts w:eastAsia="Calibri"/>
          <w:lang w:val="es-DO"/>
        </w:rPr>
        <w:lastRenderedPageBreak/>
        <w:t>conectada al bienestar de la comunidad que servimos y contribuye a elevar su calidad de vida, sustentándose en principios éticos</w:t>
      </w:r>
      <w:r w:rsidR="00C016FC" w:rsidRPr="00232EBB">
        <w:rPr>
          <w:rFonts w:eastAsia="Calibri"/>
          <w:lang w:val="es-DO"/>
        </w:rPr>
        <w:t>.</w:t>
      </w:r>
    </w:p>
    <w:p w14:paraId="4DEEB57D" w14:textId="34A54A01" w:rsidR="003A6D2F" w:rsidRPr="00232EBB" w:rsidRDefault="00CC305A" w:rsidP="009E3A89">
      <w:pPr>
        <w:pStyle w:val="Heading1"/>
        <w:spacing w:after="240" w:line="259" w:lineRule="auto"/>
        <w:jc w:val="left"/>
        <w:rPr>
          <w:rFonts w:cs="Times New Roman"/>
          <w:spacing w:val="0"/>
          <w:lang w:val="es-DO"/>
        </w:rPr>
      </w:pPr>
      <w:bookmarkStart w:id="18" w:name="_Toc216952208"/>
      <w:r w:rsidRPr="00232EBB">
        <w:rPr>
          <w:rFonts w:cs="Times New Roman"/>
          <w:spacing w:val="0"/>
          <w:lang w:val="es-DO"/>
        </w:rPr>
        <w:t>2.2</w:t>
      </w:r>
      <w:r w:rsidR="003A6D2F" w:rsidRPr="00232EBB">
        <w:rPr>
          <w:rFonts w:cs="Times New Roman"/>
          <w:spacing w:val="0"/>
          <w:lang w:val="es-DO"/>
        </w:rPr>
        <w:t xml:space="preserve"> </w:t>
      </w:r>
      <w:bookmarkStart w:id="19" w:name="_Toc154736678"/>
      <w:r w:rsidR="003A6D2F" w:rsidRPr="00232EBB">
        <w:rPr>
          <w:rFonts w:cs="Times New Roman"/>
          <w:spacing w:val="0"/>
          <w:lang w:val="es-DO"/>
        </w:rPr>
        <w:t>Normativa Reguladora</w:t>
      </w:r>
      <w:bookmarkEnd w:id="18"/>
      <w:bookmarkEnd w:id="19"/>
    </w:p>
    <w:p w14:paraId="59B55653" w14:textId="77777777" w:rsidR="003A6D2F" w:rsidRPr="00232EBB" w:rsidRDefault="003A6D2F" w:rsidP="00865274">
      <w:pPr>
        <w:tabs>
          <w:tab w:val="left" w:pos="90"/>
        </w:tabs>
        <w:spacing w:before="240" w:after="240" w:line="360" w:lineRule="auto"/>
        <w:jc w:val="both"/>
        <w:rPr>
          <w:rFonts w:eastAsia="Calibri"/>
          <w:b/>
          <w:bCs/>
          <w:lang w:val="es-DO"/>
        </w:rPr>
      </w:pPr>
      <w:r w:rsidRPr="00232EBB">
        <w:rPr>
          <w:rFonts w:eastAsia="Calibri"/>
          <w:b/>
          <w:bCs/>
          <w:lang w:val="es-DO"/>
        </w:rPr>
        <w:t>Leyes:</w:t>
      </w:r>
    </w:p>
    <w:p w14:paraId="27A71859" w14:textId="77777777" w:rsidR="00972A03" w:rsidRPr="00232EBB" w:rsidRDefault="00972A03" w:rsidP="000E2299">
      <w:pPr>
        <w:pStyle w:val="ListParagraph"/>
        <w:numPr>
          <w:ilvl w:val="0"/>
          <w:numId w:val="7"/>
        </w:numPr>
        <w:tabs>
          <w:tab w:val="left" w:pos="284"/>
        </w:tabs>
        <w:spacing w:before="240" w:after="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t>Constitución de la República Dominicana, proclamada el 27 de octubre del 2024.</w:t>
      </w:r>
    </w:p>
    <w:p w14:paraId="4BB1D347" w14:textId="77777777" w:rsidR="00972A03" w:rsidRPr="00232EBB" w:rsidRDefault="00972A03" w:rsidP="000E2299">
      <w:pPr>
        <w:pStyle w:val="ListParagraph"/>
        <w:numPr>
          <w:ilvl w:val="0"/>
          <w:numId w:val="7"/>
        </w:numPr>
        <w:tabs>
          <w:tab w:val="left" w:pos="284"/>
        </w:tabs>
        <w:spacing w:before="240" w:after="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t>Ley No. 87-01, de fecha 09 de mayo del 2001, que crea el Sistema Dominicano de Seguridad Social (SDSS), modificada por la Ley No. 13-20, de fecha 07 de febrero del 2020, que fortalece la Tesorería de la Seguridad Social (TSS).</w:t>
      </w:r>
    </w:p>
    <w:p w14:paraId="13704EBA" w14:textId="77777777" w:rsidR="00972A03" w:rsidRPr="00232EBB" w:rsidRDefault="00972A03" w:rsidP="000E2299">
      <w:pPr>
        <w:pStyle w:val="ListParagraph"/>
        <w:numPr>
          <w:ilvl w:val="0"/>
          <w:numId w:val="7"/>
        </w:numPr>
        <w:tabs>
          <w:tab w:val="left" w:pos="284"/>
        </w:tabs>
        <w:spacing w:before="240" w:after="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t>Ley No. 126-02, de fecha 04 de septiembre del 2002, sobre Comercio Electrónico, Documento y firma Digital.</w:t>
      </w:r>
    </w:p>
    <w:p w14:paraId="5C503D24" w14:textId="77777777" w:rsidR="00972A03" w:rsidRPr="00232EBB" w:rsidRDefault="00972A03" w:rsidP="000E2299">
      <w:pPr>
        <w:pStyle w:val="ListParagraph"/>
        <w:numPr>
          <w:ilvl w:val="0"/>
          <w:numId w:val="7"/>
        </w:numPr>
        <w:tabs>
          <w:tab w:val="left" w:pos="284"/>
        </w:tabs>
        <w:spacing w:before="240" w:after="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t>Ley No. 200-04, de fecha 28 de julio del 2004, General de Libre Acceso a la Información Pública.</w:t>
      </w:r>
    </w:p>
    <w:p w14:paraId="623B4676" w14:textId="77777777" w:rsidR="00972A03" w:rsidRPr="00232EBB" w:rsidRDefault="00972A03" w:rsidP="000E2299">
      <w:pPr>
        <w:pStyle w:val="ListParagraph"/>
        <w:numPr>
          <w:ilvl w:val="0"/>
          <w:numId w:val="7"/>
        </w:numPr>
        <w:tabs>
          <w:tab w:val="left" w:pos="284"/>
        </w:tabs>
        <w:spacing w:before="240" w:after="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t xml:space="preserve">Ley No. 340-06, de fecha 18 de agosto del 2006, sobre Compras y Contrataciones de Bienes, Servicios, Obras y Concesiones y sus modificaciones. </w:t>
      </w:r>
    </w:p>
    <w:p w14:paraId="1EBAC07C" w14:textId="77777777" w:rsidR="00972A03" w:rsidRPr="00232EBB" w:rsidRDefault="00972A03" w:rsidP="000E2299">
      <w:pPr>
        <w:pStyle w:val="ListParagraph"/>
        <w:numPr>
          <w:ilvl w:val="0"/>
          <w:numId w:val="7"/>
        </w:numPr>
        <w:tabs>
          <w:tab w:val="left" w:pos="284"/>
        </w:tabs>
        <w:spacing w:before="240" w:after="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t>Ley No. 423-06, de fecha 14 de noviembre del 2006, Orgánica de Presupuesto para el Sector Público.</w:t>
      </w:r>
    </w:p>
    <w:p w14:paraId="5A862EBD" w14:textId="77777777" w:rsidR="00972A03" w:rsidRPr="00232EBB" w:rsidRDefault="00972A03" w:rsidP="000E2299">
      <w:pPr>
        <w:pStyle w:val="ListParagraph"/>
        <w:numPr>
          <w:ilvl w:val="0"/>
          <w:numId w:val="7"/>
        </w:numPr>
        <w:tabs>
          <w:tab w:val="left" w:pos="284"/>
        </w:tabs>
        <w:spacing w:before="240" w:after="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t>Ley No. 188-07, de fecha 09 de agosto del 2007, que introduce modificaciones a la Ley 87-01, que crea el Sistema Dominicano de la Seguridad Social (SDSS).</w:t>
      </w:r>
    </w:p>
    <w:p w14:paraId="5F0547C2" w14:textId="2E7C9C6B" w:rsidR="00553C11" w:rsidRPr="00232EBB" w:rsidRDefault="00972A03" w:rsidP="000E2299">
      <w:pPr>
        <w:pStyle w:val="ListParagraph"/>
        <w:numPr>
          <w:ilvl w:val="0"/>
          <w:numId w:val="7"/>
        </w:numPr>
        <w:tabs>
          <w:tab w:val="left" w:pos="284"/>
        </w:tabs>
        <w:spacing w:before="240" w:after="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t>Ley No. 189-07, de fecha 09 de agosto del 2007, que facilita el pago a los empleadores con deudas pendientes con el Sistema Dominicano de la Seguridad Social (SDSS).</w:t>
      </w:r>
    </w:p>
    <w:p w14:paraId="69FEC88A" w14:textId="3854D738" w:rsidR="00972A03" w:rsidRPr="00232EBB" w:rsidRDefault="00972A03" w:rsidP="000E2299">
      <w:pPr>
        <w:pStyle w:val="ListParagraph"/>
        <w:numPr>
          <w:ilvl w:val="0"/>
          <w:numId w:val="7"/>
        </w:numPr>
        <w:tabs>
          <w:tab w:val="left" w:pos="284"/>
        </w:tabs>
        <w:spacing w:before="240" w:after="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t xml:space="preserve">Ley No. 41-08, de fecha 16 de enero del 2008, </w:t>
      </w:r>
      <w:r w:rsidR="00553C11" w:rsidRPr="00232EBB">
        <w:rPr>
          <w:rFonts w:ascii="Times New Roman" w:hAnsi="Times New Roman"/>
          <w:color w:val="767171"/>
          <w:spacing w:val="20"/>
          <w:sz w:val="24"/>
          <w:szCs w:val="24"/>
        </w:rPr>
        <w:t>d</w:t>
      </w:r>
      <w:r w:rsidRPr="00232EBB">
        <w:rPr>
          <w:rFonts w:ascii="Times New Roman" w:hAnsi="Times New Roman"/>
          <w:color w:val="767171"/>
          <w:spacing w:val="20"/>
          <w:sz w:val="24"/>
          <w:szCs w:val="24"/>
        </w:rPr>
        <w:t>e</w:t>
      </w:r>
      <w:r w:rsidR="00553C11" w:rsidRPr="00232EBB">
        <w:rPr>
          <w:rFonts w:ascii="Times New Roman" w:hAnsi="Times New Roman"/>
          <w:color w:val="767171"/>
          <w:spacing w:val="20"/>
          <w:sz w:val="24"/>
          <w:szCs w:val="24"/>
        </w:rPr>
        <w:t xml:space="preserve"> </w:t>
      </w:r>
      <w:r w:rsidRPr="00232EBB">
        <w:rPr>
          <w:rFonts w:ascii="Times New Roman" w:hAnsi="Times New Roman"/>
          <w:color w:val="767171"/>
          <w:spacing w:val="20"/>
          <w:sz w:val="24"/>
          <w:szCs w:val="24"/>
        </w:rPr>
        <w:t>Función Pública y crea el hoy denominado Ministerio de Administración Pública.</w:t>
      </w:r>
    </w:p>
    <w:p w14:paraId="008C768A" w14:textId="77777777" w:rsidR="00972A03" w:rsidRPr="00232EBB" w:rsidRDefault="00972A03" w:rsidP="000E2299">
      <w:pPr>
        <w:pStyle w:val="ListParagraph"/>
        <w:numPr>
          <w:ilvl w:val="0"/>
          <w:numId w:val="7"/>
        </w:numPr>
        <w:tabs>
          <w:tab w:val="left" w:pos="284"/>
        </w:tabs>
        <w:spacing w:before="240" w:after="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lastRenderedPageBreak/>
        <w:t>Ley No. 177-09, de fecha 22 de junio del 2009, que otorga amnistía a todos los empleadores públicos y privados, sean personas físicas o morales, con atrasos u omisiones en el pago de las cotizaciones relativas a los aportes del trabajador y las contribuciones del empleador al Sistema Dominicano de Seguridad Social, que hayan estado operando durante la vigencia de la Ley No. 87-01.</w:t>
      </w:r>
    </w:p>
    <w:p w14:paraId="16111559" w14:textId="77777777" w:rsidR="00972A03" w:rsidRPr="00232EBB" w:rsidRDefault="00972A03" w:rsidP="000E2299">
      <w:pPr>
        <w:pStyle w:val="ListParagraph"/>
        <w:numPr>
          <w:ilvl w:val="0"/>
          <w:numId w:val="7"/>
        </w:numPr>
        <w:tabs>
          <w:tab w:val="left" w:pos="284"/>
        </w:tabs>
        <w:spacing w:before="240" w:after="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t>Ley No. 247-12, de fecha 09 de agosto del 2012, Orgánica de la Administración Pública.</w:t>
      </w:r>
    </w:p>
    <w:p w14:paraId="6D8995CB" w14:textId="77777777" w:rsidR="00972A03" w:rsidRPr="00232EBB" w:rsidRDefault="00972A03" w:rsidP="000E2299">
      <w:pPr>
        <w:pStyle w:val="ListParagraph"/>
        <w:numPr>
          <w:ilvl w:val="0"/>
          <w:numId w:val="7"/>
        </w:numPr>
        <w:tabs>
          <w:tab w:val="left" w:pos="284"/>
        </w:tabs>
        <w:spacing w:before="240" w:after="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t>Ley No. 107-13, de fecha 06 de agosto del 2013, sobre los Derechos de las Personas en sus Relaciones con la Administración y de Procedimiento Administrativo.</w:t>
      </w:r>
    </w:p>
    <w:p w14:paraId="0CF4D449" w14:textId="76AE5A80" w:rsidR="001E7917" w:rsidRPr="00232EBB" w:rsidRDefault="00972A03" w:rsidP="000E2299">
      <w:pPr>
        <w:pStyle w:val="ListParagraph"/>
        <w:numPr>
          <w:ilvl w:val="0"/>
          <w:numId w:val="7"/>
        </w:numPr>
        <w:tabs>
          <w:tab w:val="left" w:pos="284"/>
        </w:tabs>
        <w:spacing w:before="240" w:after="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t>Ley No. 167-21, de fecha 12 de agosto del 2021, sobre Mejora Regulatoria y Simplificación de Trámites.</w:t>
      </w:r>
    </w:p>
    <w:p w14:paraId="0EF134A7" w14:textId="77777777" w:rsidR="003A6D2F" w:rsidRPr="00232EBB" w:rsidRDefault="003A6D2F" w:rsidP="003A6D2F">
      <w:pPr>
        <w:spacing w:before="240" w:after="240" w:line="360" w:lineRule="auto"/>
        <w:jc w:val="both"/>
        <w:rPr>
          <w:rFonts w:eastAsia="Calibri"/>
          <w:b/>
          <w:bCs/>
          <w:lang w:val="es-DO"/>
        </w:rPr>
      </w:pPr>
      <w:r w:rsidRPr="00232EBB">
        <w:rPr>
          <w:rFonts w:eastAsia="Calibri"/>
          <w:b/>
          <w:bCs/>
          <w:lang w:val="es-DO"/>
        </w:rPr>
        <w:t>Decretos:</w:t>
      </w:r>
    </w:p>
    <w:p w14:paraId="567DAD94" w14:textId="77777777" w:rsidR="003A6D2F" w:rsidRPr="00232EBB" w:rsidRDefault="003A6D2F" w:rsidP="00862F3D">
      <w:pPr>
        <w:numPr>
          <w:ilvl w:val="0"/>
          <w:numId w:val="2"/>
        </w:numPr>
        <w:spacing w:before="240" w:after="240" w:line="360" w:lineRule="auto"/>
        <w:contextualSpacing/>
        <w:jc w:val="both"/>
        <w:rPr>
          <w:rFonts w:eastAsia="Calibri"/>
          <w:lang w:val="es-DO"/>
        </w:rPr>
      </w:pPr>
      <w:r w:rsidRPr="00232EBB">
        <w:rPr>
          <w:rFonts w:eastAsia="Calibri"/>
          <w:lang w:val="es-DO"/>
        </w:rPr>
        <w:t>Decreto No. 477-20 que designa al Tesorero de la Tesorería de la Seguridad Social.</w:t>
      </w:r>
    </w:p>
    <w:p w14:paraId="2E78E879" w14:textId="6EB581DE" w:rsidR="003A6D2F" w:rsidRPr="00232EBB" w:rsidRDefault="003A6D2F" w:rsidP="00862F3D">
      <w:pPr>
        <w:numPr>
          <w:ilvl w:val="0"/>
          <w:numId w:val="2"/>
        </w:numPr>
        <w:spacing w:before="240" w:after="240" w:line="360" w:lineRule="auto"/>
        <w:contextualSpacing/>
        <w:jc w:val="both"/>
        <w:rPr>
          <w:rFonts w:eastAsia="Calibri"/>
          <w:lang w:val="es-DO"/>
        </w:rPr>
      </w:pPr>
      <w:r w:rsidRPr="00232EBB">
        <w:rPr>
          <w:rFonts w:eastAsia="Calibri"/>
          <w:lang w:val="es-DO"/>
        </w:rPr>
        <w:t>Decreto No. 18-19 de fecha 7 de enero de 2019 que crea el Plan de Servicios de Salud Especial Transitorio para los Pensionados y Jubilados del Estado que se encuentran inscritos en la Dirección General de Jubilaciones y Pensiones a cargo del estado (DGJP), a partir del 1ro de enero de 2010.</w:t>
      </w:r>
    </w:p>
    <w:p w14:paraId="6F7B3E66" w14:textId="022FF843" w:rsidR="003A6D2F" w:rsidRPr="00232EBB" w:rsidRDefault="003A6D2F" w:rsidP="00862F3D">
      <w:pPr>
        <w:numPr>
          <w:ilvl w:val="0"/>
          <w:numId w:val="2"/>
        </w:numPr>
        <w:spacing w:before="240" w:after="240" w:line="360" w:lineRule="auto"/>
        <w:contextualSpacing/>
        <w:jc w:val="both"/>
        <w:rPr>
          <w:rFonts w:eastAsia="Calibri"/>
          <w:lang w:val="es-DO"/>
        </w:rPr>
      </w:pPr>
      <w:r w:rsidRPr="00232EBB">
        <w:rPr>
          <w:rFonts w:eastAsia="Calibri"/>
          <w:lang w:val="es-DO"/>
        </w:rPr>
        <w:t>Decreto No. 159-17 de fecha 11 de mayo de 2011, que crea el Plan Especial Transitorio de Servicios de Salud para Pensionados y Jubilados de las Fuerzas Armadas y sus Dependientes Directos.</w:t>
      </w:r>
    </w:p>
    <w:p w14:paraId="6615C417" w14:textId="7D949535" w:rsidR="003A6D2F" w:rsidRPr="00232EBB" w:rsidRDefault="003A6D2F" w:rsidP="00862F3D">
      <w:pPr>
        <w:numPr>
          <w:ilvl w:val="0"/>
          <w:numId w:val="2"/>
        </w:numPr>
        <w:spacing w:before="240" w:after="240" w:line="360" w:lineRule="auto"/>
        <w:contextualSpacing/>
        <w:jc w:val="both"/>
        <w:rPr>
          <w:rFonts w:eastAsia="Calibri"/>
          <w:lang w:val="es-DO"/>
        </w:rPr>
      </w:pPr>
      <w:r w:rsidRPr="00232EBB">
        <w:rPr>
          <w:rFonts w:eastAsia="Calibri"/>
          <w:lang w:val="es-DO"/>
        </w:rPr>
        <w:t xml:space="preserve">Decreto No. 371-16 de fecha 28 de diciembre de 2016 que crea un Plan Especial Transitorio de Servicios de Salud para los pensionados y jubilados del sector salud y sus dependientes </w:t>
      </w:r>
      <w:r w:rsidRPr="00232EBB">
        <w:rPr>
          <w:rFonts w:eastAsia="Calibri"/>
          <w:lang w:val="es-DO"/>
        </w:rPr>
        <w:lastRenderedPageBreak/>
        <w:t>directos que reciban su prensión a través de la Dirección General de Jubilaciones y Pensiones del Ministerio de Hacienda, en virtud de los Decretos Núm. 208-16, 209-16 y 210-16, todos del 23 de agosto de 2016 que conceden el beneficio de jubilación y asignan pensiones a servidores públicos del sector de salud.</w:t>
      </w:r>
    </w:p>
    <w:p w14:paraId="6C109C11" w14:textId="030A152D" w:rsidR="003A6D2F" w:rsidRPr="00232EBB" w:rsidRDefault="003A6D2F" w:rsidP="00862F3D">
      <w:pPr>
        <w:numPr>
          <w:ilvl w:val="0"/>
          <w:numId w:val="2"/>
        </w:numPr>
        <w:spacing w:before="240" w:after="240" w:line="360" w:lineRule="auto"/>
        <w:contextualSpacing/>
        <w:jc w:val="both"/>
        <w:rPr>
          <w:rFonts w:eastAsia="Calibri"/>
          <w:lang w:val="es-DO"/>
        </w:rPr>
      </w:pPr>
      <w:r w:rsidRPr="00232EBB">
        <w:rPr>
          <w:rFonts w:eastAsia="Calibri"/>
          <w:lang w:val="es-DO"/>
        </w:rPr>
        <w:t>Decreto No. 96-16 que permite inclusión de extranjeros en el SDSS.</w:t>
      </w:r>
    </w:p>
    <w:p w14:paraId="54401FBA" w14:textId="529C23C4" w:rsidR="003A6D2F" w:rsidRPr="00232EBB" w:rsidRDefault="003A6D2F" w:rsidP="00862F3D">
      <w:pPr>
        <w:numPr>
          <w:ilvl w:val="0"/>
          <w:numId w:val="2"/>
        </w:numPr>
        <w:spacing w:before="240" w:after="240" w:line="360" w:lineRule="auto"/>
        <w:contextualSpacing/>
        <w:jc w:val="both"/>
        <w:rPr>
          <w:rFonts w:eastAsia="Calibri"/>
          <w:lang w:val="es-DO"/>
        </w:rPr>
      </w:pPr>
      <w:r w:rsidRPr="00232EBB">
        <w:rPr>
          <w:rFonts w:eastAsia="Calibri"/>
          <w:lang w:val="es-DO"/>
        </w:rPr>
        <w:t>Decreto No. 543-12, que aprueba el Reglamento de aplicación de la Ley</w:t>
      </w:r>
      <w:r w:rsidRPr="00232EBB">
        <w:rPr>
          <w:color w:val="auto"/>
          <w:spacing w:val="0"/>
          <w:sz w:val="22"/>
          <w:szCs w:val="22"/>
          <w:lang w:val="es-DO"/>
        </w:rPr>
        <w:t xml:space="preserve"> </w:t>
      </w:r>
      <w:r w:rsidRPr="00232EBB">
        <w:rPr>
          <w:rFonts w:eastAsia="Calibri"/>
          <w:lang w:val="es-DO"/>
        </w:rPr>
        <w:t>No. 340-06 sobre Compras y Contrataciones de Bienes, Servicios, Obras y Concesiones, de fecha 6 de septiembre de 2012.</w:t>
      </w:r>
    </w:p>
    <w:p w14:paraId="3B0DFD9C" w14:textId="7FC20B36" w:rsidR="003A6D2F" w:rsidRPr="00232EBB" w:rsidRDefault="003A6D2F" w:rsidP="00862F3D">
      <w:pPr>
        <w:numPr>
          <w:ilvl w:val="0"/>
          <w:numId w:val="2"/>
        </w:numPr>
        <w:spacing w:before="240" w:after="240" w:line="360" w:lineRule="auto"/>
        <w:contextualSpacing/>
        <w:jc w:val="both"/>
        <w:rPr>
          <w:rFonts w:eastAsia="Calibri"/>
          <w:lang w:val="es-DO"/>
        </w:rPr>
      </w:pPr>
      <w:r w:rsidRPr="00232EBB">
        <w:rPr>
          <w:rFonts w:eastAsia="Calibri"/>
          <w:lang w:val="es-DO"/>
        </w:rPr>
        <w:t>Decreto No. 327-11 de fecha 17 de mayo de 2011, que establece el incremento del per cápita para los Pensionados y Jubilados afiliados al Seguro Nacional de Salud (SENASA), beneficiarios del Plan de Servicios de Salud Especial Transitorio para los Pensionados y Jubilados del Estado, creado mediante Decreto No. 342-09, de fecha 28 de abril de 2009.</w:t>
      </w:r>
    </w:p>
    <w:p w14:paraId="22C717C0" w14:textId="5BC4707F" w:rsidR="003A6D2F" w:rsidRPr="00232EBB" w:rsidRDefault="003A6D2F" w:rsidP="00862F3D">
      <w:pPr>
        <w:numPr>
          <w:ilvl w:val="0"/>
          <w:numId w:val="2"/>
        </w:numPr>
        <w:spacing w:before="240" w:after="240" w:line="360" w:lineRule="auto"/>
        <w:contextualSpacing/>
        <w:jc w:val="both"/>
        <w:rPr>
          <w:rFonts w:eastAsia="Calibri"/>
          <w:lang w:val="es-DO"/>
        </w:rPr>
      </w:pPr>
      <w:r w:rsidRPr="00232EBB">
        <w:rPr>
          <w:rFonts w:eastAsia="Calibri"/>
          <w:lang w:val="es-DO"/>
        </w:rPr>
        <w:t>Decreto No. 213-10 de fecha 15 de abril de 2010, que modifica el Artículo 1 el Decreto 342-09 del 28 de abril de 2009 que creó el Plan de Servicios de Salud Especial Transitorio para los Pensionados y Jubilados del Estado, para incluir nuevos pensionados y jubilados e incrementa el per cápita del Seguro Familiar de Salud del Plan.</w:t>
      </w:r>
    </w:p>
    <w:p w14:paraId="4AE6DE91" w14:textId="58A82C7F" w:rsidR="003A6D2F" w:rsidRPr="00232EBB" w:rsidRDefault="003A6D2F" w:rsidP="00862F3D">
      <w:pPr>
        <w:numPr>
          <w:ilvl w:val="0"/>
          <w:numId w:val="2"/>
        </w:numPr>
        <w:spacing w:before="240" w:after="240" w:line="360" w:lineRule="auto"/>
        <w:contextualSpacing/>
        <w:jc w:val="both"/>
        <w:rPr>
          <w:rFonts w:eastAsia="Calibri"/>
          <w:lang w:val="es-DO"/>
        </w:rPr>
      </w:pPr>
      <w:r w:rsidRPr="00232EBB">
        <w:rPr>
          <w:rFonts w:eastAsia="Calibri"/>
          <w:lang w:val="es-DO"/>
        </w:rPr>
        <w:t>Decreto No. 342-09 de fecha 28 de abril de 2009, que crea el Plan de Servicios de Salud Especial Transitorio para los Pensionados y Jubilados del Estado.</w:t>
      </w:r>
    </w:p>
    <w:p w14:paraId="15F534E6" w14:textId="4954B5C2" w:rsidR="003A6D2F" w:rsidRPr="00232EBB" w:rsidRDefault="003A6D2F" w:rsidP="00862F3D">
      <w:pPr>
        <w:numPr>
          <w:ilvl w:val="0"/>
          <w:numId w:val="2"/>
        </w:numPr>
        <w:spacing w:before="240" w:after="240" w:line="360" w:lineRule="auto"/>
        <w:contextualSpacing/>
        <w:jc w:val="both"/>
        <w:rPr>
          <w:rFonts w:eastAsia="Calibri"/>
          <w:lang w:val="es-DO"/>
        </w:rPr>
      </w:pPr>
      <w:r w:rsidRPr="00232EBB">
        <w:rPr>
          <w:rFonts w:eastAsia="Calibri"/>
          <w:lang w:val="es-DO"/>
        </w:rPr>
        <w:t>Decreto</w:t>
      </w:r>
      <w:r w:rsidRPr="00232EBB">
        <w:rPr>
          <w:color w:val="auto"/>
          <w:spacing w:val="0"/>
          <w:sz w:val="22"/>
          <w:szCs w:val="22"/>
          <w:lang w:val="es-DO"/>
        </w:rPr>
        <w:t xml:space="preserve"> </w:t>
      </w:r>
      <w:r w:rsidRPr="00232EBB">
        <w:rPr>
          <w:rFonts w:eastAsia="Calibri"/>
          <w:lang w:val="es-DO"/>
        </w:rPr>
        <w:t xml:space="preserve">No. 528-09, que crea el Reglamento Orgánico Funcional del Ministerio de Administración Pública, de fecha </w:t>
      </w:r>
      <w:r w:rsidRPr="00232EBB">
        <w:rPr>
          <w:rFonts w:eastAsia="Calibri"/>
          <w:lang w:val="es-DO"/>
        </w:rPr>
        <w:lastRenderedPageBreak/>
        <w:t>21 de julio de 2009.</w:t>
      </w:r>
    </w:p>
    <w:p w14:paraId="7AFB1552" w14:textId="5D8F8ACA" w:rsidR="003A6D2F" w:rsidRPr="00232EBB" w:rsidRDefault="003A6D2F" w:rsidP="00862F3D">
      <w:pPr>
        <w:numPr>
          <w:ilvl w:val="0"/>
          <w:numId w:val="2"/>
        </w:numPr>
        <w:spacing w:before="240" w:after="240" w:line="360" w:lineRule="auto"/>
        <w:contextualSpacing/>
        <w:jc w:val="both"/>
        <w:rPr>
          <w:rFonts w:eastAsia="Calibri"/>
          <w:lang w:val="es-DO"/>
        </w:rPr>
      </w:pPr>
      <w:r w:rsidRPr="00232EBB">
        <w:rPr>
          <w:rFonts w:eastAsia="Calibri"/>
          <w:lang w:val="es-DO"/>
        </w:rPr>
        <w:t>Decreto No.527-09, que crea el Reglamento Estructura Orgánica, Cargos y Política Salarial, de fecha 21 de julio de 2009.</w:t>
      </w:r>
    </w:p>
    <w:p w14:paraId="0D6DECB8" w14:textId="48BD6D8A" w:rsidR="003A6D2F" w:rsidRPr="00232EBB" w:rsidRDefault="003A6D2F" w:rsidP="00862F3D">
      <w:pPr>
        <w:numPr>
          <w:ilvl w:val="0"/>
          <w:numId w:val="2"/>
        </w:numPr>
        <w:spacing w:before="240" w:after="240" w:line="360" w:lineRule="auto"/>
        <w:contextualSpacing/>
        <w:jc w:val="both"/>
        <w:rPr>
          <w:rFonts w:eastAsia="Calibri"/>
          <w:lang w:val="es-DO"/>
        </w:rPr>
      </w:pPr>
      <w:r w:rsidRPr="00232EBB">
        <w:rPr>
          <w:rFonts w:eastAsia="Calibri"/>
          <w:lang w:val="es-DO"/>
        </w:rPr>
        <w:t xml:space="preserve">Decreto No. 525-09, que crea el Reglamento de Evaluación del Desempeño y Promoción de los </w:t>
      </w:r>
      <w:r w:rsidR="003D03F0" w:rsidRPr="00232EBB">
        <w:rPr>
          <w:rFonts w:eastAsia="Calibri"/>
          <w:lang w:val="es-DO"/>
        </w:rPr>
        <w:t>s</w:t>
      </w:r>
      <w:r w:rsidRPr="00232EBB">
        <w:rPr>
          <w:rFonts w:eastAsia="Calibri"/>
          <w:lang w:val="es-DO"/>
        </w:rPr>
        <w:t xml:space="preserve">ervidores y </w:t>
      </w:r>
      <w:r w:rsidR="003D03F0" w:rsidRPr="00232EBB">
        <w:rPr>
          <w:rFonts w:eastAsia="Calibri"/>
          <w:lang w:val="es-DO"/>
        </w:rPr>
        <w:t>funcionarios</w:t>
      </w:r>
      <w:r w:rsidRPr="00232EBB">
        <w:rPr>
          <w:rFonts w:eastAsia="Calibri"/>
          <w:lang w:val="es-DO"/>
        </w:rPr>
        <w:t xml:space="preserve"> Públicos, de fecha 21 de julio 2009.</w:t>
      </w:r>
    </w:p>
    <w:p w14:paraId="4D1F011F" w14:textId="37283E74" w:rsidR="003A6D2F" w:rsidRPr="00232EBB" w:rsidRDefault="003A6D2F" w:rsidP="00862F3D">
      <w:pPr>
        <w:numPr>
          <w:ilvl w:val="0"/>
          <w:numId w:val="2"/>
        </w:numPr>
        <w:spacing w:before="240" w:after="240" w:line="360" w:lineRule="auto"/>
        <w:contextualSpacing/>
        <w:jc w:val="both"/>
        <w:rPr>
          <w:rFonts w:eastAsia="Calibri"/>
          <w:lang w:val="es-DO"/>
        </w:rPr>
      </w:pPr>
      <w:r w:rsidRPr="00232EBB">
        <w:rPr>
          <w:rFonts w:eastAsia="Calibri"/>
          <w:lang w:val="es-DO"/>
        </w:rPr>
        <w:t>Decreto No. 524-09, que crea del Reglamento de Reclutamiento y Selección de Personal en la Administración Pública, de fecha 21 de julio 2009.</w:t>
      </w:r>
    </w:p>
    <w:p w14:paraId="397AD788" w14:textId="3582CC0F" w:rsidR="003A6D2F" w:rsidRPr="00232EBB" w:rsidRDefault="003A6D2F" w:rsidP="00862F3D">
      <w:pPr>
        <w:numPr>
          <w:ilvl w:val="0"/>
          <w:numId w:val="2"/>
        </w:numPr>
        <w:spacing w:before="240" w:after="240" w:line="360" w:lineRule="auto"/>
        <w:contextualSpacing/>
        <w:jc w:val="both"/>
        <w:rPr>
          <w:rFonts w:eastAsia="Calibri"/>
          <w:lang w:val="es-DO"/>
        </w:rPr>
      </w:pPr>
      <w:r w:rsidRPr="00232EBB">
        <w:rPr>
          <w:rFonts w:eastAsia="Calibri"/>
          <w:lang w:val="es-DO"/>
        </w:rPr>
        <w:t>Decreto No. 523-09, que crea el Reglamento de Relaciones Laborales en la Administración Pública, de fecha 21 de julio de 2009.</w:t>
      </w:r>
    </w:p>
    <w:p w14:paraId="38AB4B02" w14:textId="74141B03" w:rsidR="003A6D2F" w:rsidRPr="00232EBB" w:rsidRDefault="003A6D2F" w:rsidP="00862F3D">
      <w:pPr>
        <w:numPr>
          <w:ilvl w:val="0"/>
          <w:numId w:val="2"/>
        </w:numPr>
        <w:spacing w:before="240" w:after="240" w:line="360" w:lineRule="auto"/>
        <w:contextualSpacing/>
        <w:jc w:val="both"/>
        <w:rPr>
          <w:rFonts w:eastAsia="Calibri"/>
          <w:lang w:val="es-DO"/>
        </w:rPr>
      </w:pPr>
      <w:r w:rsidRPr="00232EBB">
        <w:rPr>
          <w:rFonts w:eastAsia="Calibri"/>
          <w:lang w:val="es-DO"/>
        </w:rPr>
        <w:t>Decreto</w:t>
      </w:r>
      <w:r w:rsidRPr="00232EBB">
        <w:rPr>
          <w:color w:val="auto"/>
          <w:spacing w:val="0"/>
          <w:sz w:val="22"/>
          <w:szCs w:val="22"/>
          <w:lang w:val="es-DO"/>
        </w:rPr>
        <w:t xml:space="preserve"> </w:t>
      </w:r>
      <w:r w:rsidRPr="00232EBB">
        <w:rPr>
          <w:rFonts w:eastAsia="Calibri"/>
          <w:lang w:val="es-DO"/>
        </w:rPr>
        <w:t>No. 491-07, que establece el Reglamento de Aplicación del Sistema Nacional de Control Interno, de fecha 30 de agostos de 2007.</w:t>
      </w:r>
    </w:p>
    <w:p w14:paraId="1E6953F6" w14:textId="0BD9AA9F" w:rsidR="003A6D2F" w:rsidRPr="00232EBB" w:rsidRDefault="003A6D2F" w:rsidP="00862F3D">
      <w:pPr>
        <w:numPr>
          <w:ilvl w:val="0"/>
          <w:numId w:val="2"/>
        </w:numPr>
        <w:spacing w:before="240" w:after="240" w:line="360" w:lineRule="auto"/>
        <w:contextualSpacing/>
        <w:jc w:val="both"/>
        <w:rPr>
          <w:rFonts w:eastAsia="Calibri"/>
          <w:b/>
          <w:bCs/>
          <w:lang w:val="es-DO"/>
        </w:rPr>
      </w:pPr>
      <w:r w:rsidRPr="00232EBB">
        <w:rPr>
          <w:rFonts w:eastAsia="Calibri"/>
          <w:lang w:val="es-DO"/>
        </w:rPr>
        <w:t>Decreto No. 130-05, que aprueba el Reglamento de Aplicación de la Ley No. 200-04, de fecha 25 de febrero de 2005.</w:t>
      </w:r>
    </w:p>
    <w:p w14:paraId="49C6BBBD" w14:textId="77777777" w:rsidR="003A6D2F" w:rsidRPr="00232EBB" w:rsidRDefault="003A6D2F" w:rsidP="003A6D2F">
      <w:pPr>
        <w:spacing w:before="240" w:after="240" w:line="360" w:lineRule="auto"/>
        <w:jc w:val="both"/>
        <w:rPr>
          <w:rFonts w:eastAsia="Calibri"/>
          <w:b/>
          <w:bCs/>
          <w:lang w:val="es-DO"/>
        </w:rPr>
      </w:pPr>
      <w:r w:rsidRPr="00232EBB">
        <w:rPr>
          <w:rFonts w:eastAsia="Calibri"/>
          <w:b/>
          <w:bCs/>
          <w:lang w:val="es-DO"/>
        </w:rPr>
        <w:t>Reglamentos:</w:t>
      </w:r>
    </w:p>
    <w:p w14:paraId="681D246A" w14:textId="3A5423B8" w:rsidR="003A6D2F" w:rsidRPr="00232EBB" w:rsidRDefault="003A6D2F" w:rsidP="00862F3D">
      <w:pPr>
        <w:numPr>
          <w:ilvl w:val="0"/>
          <w:numId w:val="2"/>
        </w:numPr>
        <w:spacing w:before="240" w:after="240" w:line="360" w:lineRule="auto"/>
        <w:contextualSpacing/>
        <w:jc w:val="both"/>
        <w:rPr>
          <w:rFonts w:eastAsia="Calibri"/>
          <w:lang w:val="es-DO"/>
        </w:rPr>
      </w:pPr>
      <w:r w:rsidRPr="00232EBB">
        <w:rPr>
          <w:rFonts w:eastAsia="Calibri"/>
          <w:lang w:val="es-DO"/>
        </w:rPr>
        <w:t>Reglamento Orgánico de la TSS aprobado mediante Decreto No. 775-03 de fecha 12 de agosto de 2003.</w:t>
      </w:r>
    </w:p>
    <w:p w14:paraId="410ADFC8" w14:textId="7C71E886" w:rsidR="003A6D2F" w:rsidRPr="00232EBB" w:rsidRDefault="003A6D2F" w:rsidP="00862F3D">
      <w:pPr>
        <w:numPr>
          <w:ilvl w:val="0"/>
          <w:numId w:val="2"/>
        </w:numPr>
        <w:spacing w:before="240" w:after="240" w:line="360" w:lineRule="auto"/>
        <w:contextualSpacing/>
        <w:jc w:val="both"/>
        <w:rPr>
          <w:rFonts w:eastAsia="Calibri"/>
          <w:lang w:val="es-DO"/>
        </w:rPr>
      </w:pPr>
      <w:r w:rsidRPr="00232EBB">
        <w:rPr>
          <w:rFonts w:eastAsia="Calibri"/>
          <w:lang w:val="es-DO"/>
        </w:rPr>
        <w:t>Reglamento de Pensiones, aprobado mediante Decreto No. 969-02 de fecha 19 de diciembre del 2002.</w:t>
      </w:r>
    </w:p>
    <w:p w14:paraId="5937DD5D" w14:textId="43A5EA13" w:rsidR="003A6D2F" w:rsidRPr="00232EBB" w:rsidRDefault="003A6D2F" w:rsidP="00862F3D">
      <w:pPr>
        <w:numPr>
          <w:ilvl w:val="0"/>
          <w:numId w:val="2"/>
        </w:numPr>
        <w:spacing w:before="240" w:after="240" w:line="360" w:lineRule="auto"/>
        <w:contextualSpacing/>
        <w:jc w:val="both"/>
        <w:rPr>
          <w:rFonts w:eastAsia="Calibri"/>
          <w:lang w:val="es-DO"/>
        </w:rPr>
      </w:pPr>
      <w:r w:rsidRPr="00232EBB">
        <w:rPr>
          <w:rFonts w:eastAsia="Calibri"/>
          <w:lang w:val="es-DO"/>
        </w:rPr>
        <w:t>Reglamento del Régimen Subsidiado Modificado, aprobado mediante Decreto No. 136-13, de fecha 02 de octubre de 2013.</w:t>
      </w:r>
    </w:p>
    <w:p w14:paraId="594DBFBD" w14:textId="77777777" w:rsidR="007039C6" w:rsidRPr="00232EBB" w:rsidRDefault="003A6D2F" w:rsidP="007039C6">
      <w:pPr>
        <w:numPr>
          <w:ilvl w:val="0"/>
          <w:numId w:val="2"/>
        </w:numPr>
        <w:spacing w:before="240" w:after="240" w:line="360" w:lineRule="auto"/>
        <w:contextualSpacing/>
        <w:jc w:val="both"/>
        <w:rPr>
          <w:rFonts w:eastAsia="Calibri"/>
          <w:lang w:val="es-DO"/>
        </w:rPr>
      </w:pPr>
      <w:r w:rsidRPr="00232EBB">
        <w:rPr>
          <w:rFonts w:eastAsia="Calibri"/>
          <w:lang w:val="es-DO"/>
        </w:rPr>
        <w:t>Reglamento del Seguro Familiar de Salud, aprobado mediante Decreto No. 234-07 de fecha 4 de mayo de 2007.</w:t>
      </w:r>
    </w:p>
    <w:p w14:paraId="1AEC5F1C" w14:textId="0A46CDB1" w:rsidR="003A6D2F" w:rsidRPr="00232EBB" w:rsidRDefault="003A6D2F" w:rsidP="007039C6">
      <w:pPr>
        <w:numPr>
          <w:ilvl w:val="0"/>
          <w:numId w:val="2"/>
        </w:numPr>
        <w:spacing w:before="240" w:after="240" w:line="360" w:lineRule="auto"/>
        <w:contextualSpacing/>
        <w:jc w:val="both"/>
        <w:rPr>
          <w:rFonts w:eastAsia="Calibri"/>
          <w:lang w:val="es-DO"/>
        </w:rPr>
      </w:pPr>
      <w:r w:rsidRPr="00232EBB">
        <w:rPr>
          <w:rFonts w:eastAsia="Calibri"/>
          <w:lang w:val="es-DO"/>
        </w:rPr>
        <w:t xml:space="preserve">Reglamento Interno del Consejo Nacional de la Seguridad Social, aprobado mediante Decreto No. 707-02 de fecha 4 de </w:t>
      </w:r>
      <w:r w:rsidRPr="00232EBB">
        <w:rPr>
          <w:rFonts w:eastAsia="Calibri"/>
          <w:lang w:val="es-DO"/>
        </w:rPr>
        <w:lastRenderedPageBreak/>
        <w:t>septiembre de 2002.</w:t>
      </w:r>
    </w:p>
    <w:p w14:paraId="7649A32F" w14:textId="08267535" w:rsidR="00776592" w:rsidRPr="00232EBB" w:rsidRDefault="003A6D2F" w:rsidP="003B28E6">
      <w:pPr>
        <w:numPr>
          <w:ilvl w:val="0"/>
          <w:numId w:val="2"/>
        </w:numPr>
        <w:spacing w:before="240" w:after="240" w:line="360" w:lineRule="auto"/>
        <w:contextualSpacing/>
        <w:jc w:val="both"/>
        <w:rPr>
          <w:rFonts w:eastAsia="Calibri"/>
          <w:lang w:val="es-DO"/>
        </w:rPr>
      </w:pPr>
      <w:hyperlink r:id="rId16" w:tgtFrame="_blank" w:history="1">
        <w:r w:rsidRPr="00232EBB">
          <w:rPr>
            <w:rFonts w:eastAsia="Calibri"/>
            <w:lang w:val="es-DO"/>
          </w:rPr>
          <w:t>Reglamento del Seguro de Riesgos Laborales</w:t>
        </w:r>
      </w:hyperlink>
      <w:r w:rsidRPr="00232EBB">
        <w:rPr>
          <w:rFonts w:eastAsia="Calibri"/>
          <w:lang w:val="es-DO"/>
        </w:rPr>
        <w:t xml:space="preserve"> Modificado, aprobado mediante Decreto No. 255-07, de fecha 14 de mayo de 2007.</w:t>
      </w:r>
    </w:p>
    <w:p w14:paraId="419198ED" w14:textId="77777777" w:rsidR="00776592" w:rsidRPr="00232EBB" w:rsidRDefault="00776592" w:rsidP="003A6D2F">
      <w:pPr>
        <w:spacing w:before="240" w:after="240" w:line="360" w:lineRule="auto"/>
        <w:jc w:val="both"/>
        <w:rPr>
          <w:rFonts w:eastAsia="Calibri"/>
          <w:lang w:val="es-DO"/>
        </w:rPr>
      </w:pPr>
    </w:p>
    <w:p w14:paraId="46DE4442" w14:textId="77777777" w:rsidR="00776592" w:rsidRPr="00232EBB" w:rsidRDefault="00776592" w:rsidP="003A6D2F">
      <w:pPr>
        <w:spacing w:before="240" w:after="240" w:line="360" w:lineRule="auto"/>
        <w:jc w:val="both"/>
        <w:rPr>
          <w:rFonts w:eastAsia="Calibri"/>
          <w:lang w:val="es-DO"/>
        </w:rPr>
        <w:sectPr w:rsidR="00776592" w:rsidRPr="00232EBB" w:rsidSect="00553C11">
          <w:headerReference w:type="default" r:id="rId17"/>
          <w:footerReference w:type="default" r:id="rId18"/>
          <w:pgSz w:w="12240" w:h="15840"/>
          <w:pgMar w:top="1440" w:right="2160" w:bottom="1440" w:left="2160" w:header="720" w:footer="720" w:gutter="0"/>
          <w:pgNumType w:start="1"/>
          <w:cols w:space="720"/>
          <w:docGrid w:linePitch="360"/>
        </w:sectPr>
      </w:pPr>
    </w:p>
    <w:p w14:paraId="7A98CFE0" w14:textId="19000BDB" w:rsidR="00B76DB7" w:rsidRPr="00232EBB" w:rsidRDefault="004B301B" w:rsidP="003A6D2F">
      <w:pPr>
        <w:spacing w:before="240" w:after="240" w:line="360" w:lineRule="auto"/>
        <w:jc w:val="both"/>
        <w:rPr>
          <w:rFonts w:eastAsiaTheme="majorEastAsia"/>
          <w:b/>
          <w:color w:val="767171" w:themeColor="background2" w:themeShade="80"/>
          <w:spacing w:val="0"/>
          <w:sz w:val="28"/>
          <w:szCs w:val="32"/>
          <w:lang w:val="es-DO"/>
        </w:rPr>
      </w:pPr>
      <w:r w:rsidRPr="00232EBB">
        <w:rPr>
          <w:noProof/>
          <w:sz w:val="28"/>
          <w:szCs w:val="28"/>
          <w:lang w:val="es-DO"/>
        </w:rPr>
        <w:lastRenderedPageBreak/>
        <w:drawing>
          <wp:anchor distT="0" distB="0" distL="114300" distR="114300" simplePos="0" relativeHeight="251664420" behindDoc="1" locked="0" layoutInCell="1" allowOverlap="1" wp14:anchorId="07514E1F" wp14:editId="5F28E8AF">
            <wp:simplePos x="0" y="0"/>
            <wp:positionH relativeFrom="margin">
              <wp:posOffset>-694503</wp:posOffset>
            </wp:positionH>
            <wp:positionV relativeFrom="paragraph">
              <wp:posOffset>173841</wp:posOffset>
            </wp:positionV>
            <wp:extent cx="8963025" cy="6293173"/>
            <wp:effectExtent l="0" t="0" r="0" b="0"/>
            <wp:wrapNone/>
            <wp:docPr id="50" name="Picture 50"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diagram of a company&#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963025" cy="629317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C305A" w:rsidRPr="00232EBB">
        <w:rPr>
          <w:rFonts w:eastAsia="Calibri"/>
          <w:b/>
          <w:bCs/>
          <w:sz w:val="28"/>
          <w:szCs w:val="28"/>
          <w:lang w:val="es-DO"/>
        </w:rPr>
        <w:t>2</w:t>
      </w:r>
      <w:r w:rsidR="00CC305A" w:rsidRPr="00232EBB">
        <w:rPr>
          <w:rFonts w:eastAsiaTheme="majorEastAsia"/>
          <w:b/>
          <w:color w:val="767171" w:themeColor="background2" w:themeShade="80"/>
          <w:spacing w:val="0"/>
          <w:sz w:val="28"/>
          <w:szCs w:val="28"/>
          <w:lang w:val="es-DO"/>
        </w:rPr>
        <w:t>.</w:t>
      </w:r>
      <w:r w:rsidR="00CC305A" w:rsidRPr="00232EBB">
        <w:rPr>
          <w:rFonts w:eastAsiaTheme="majorEastAsia"/>
          <w:b/>
          <w:color w:val="767171" w:themeColor="background2" w:themeShade="80"/>
          <w:spacing w:val="0"/>
          <w:sz w:val="28"/>
          <w:szCs w:val="32"/>
          <w:lang w:val="es-DO"/>
        </w:rPr>
        <w:t>3</w:t>
      </w:r>
      <w:r w:rsidR="00B76DB7" w:rsidRPr="00232EBB">
        <w:rPr>
          <w:rFonts w:eastAsiaTheme="majorEastAsia"/>
          <w:b/>
          <w:color w:val="767171" w:themeColor="background2" w:themeShade="80"/>
          <w:spacing w:val="0"/>
          <w:sz w:val="28"/>
          <w:szCs w:val="32"/>
          <w:lang w:val="es-DO"/>
        </w:rPr>
        <w:t xml:space="preserve"> Estructura Organizacional</w:t>
      </w:r>
    </w:p>
    <w:p w14:paraId="0ED9DAF8" w14:textId="4D2B80FB" w:rsidR="00955A30" w:rsidRPr="00232EBB" w:rsidRDefault="00955A30" w:rsidP="003A6D2F">
      <w:pPr>
        <w:spacing w:before="240" w:after="240" w:line="360" w:lineRule="auto"/>
        <w:jc w:val="both"/>
        <w:rPr>
          <w:rFonts w:eastAsia="Calibri"/>
          <w:lang w:val="es-DO"/>
        </w:rPr>
      </w:pPr>
    </w:p>
    <w:p w14:paraId="533CBF4C" w14:textId="459056D8" w:rsidR="004B301B" w:rsidRPr="00232EBB" w:rsidRDefault="004B301B" w:rsidP="003A6D2F">
      <w:pPr>
        <w:spacing w:before="240" w:after="240" w:line="360" w:lineRule="auto"/>
        <w:jc w:val="both"/>
        <w:rPr>
          <w:rFonts w:eastAsia="Calibri"/>
          <w:lang w:val="es-DO"/>
        </w:rPr>
        <w:sectPr w:rsidR="004B301B" w:rsidRPr="00232EBB" w:rsidSect="004B301B">
          <w:pgSz w:w="15840" w:h="12240" w:orient="landscape"/>
          <w:pgMar w:top="1440" w:right="2160" w:bottom="1440" w:left="2160" w:header="720" w:footer="720" w:gutter="0"/>
          <w:cols w:space="720"/>
          <w:docGrid w:linePitch="360"/>
        </w:sectPr>
      </w:pPr>
    </w:p>
    <w:p w14:paraId="23D8D414" w14:textId="2699F513" w:rsidR="00776592" w:rsidRPr="00232EBB" w:rsidRDefault="00CC305A" w:rsidP="009E3A89">
      <w:pPr>
        <w:pStyle w:val="Heading1"/>
        <w:spacing w:after="240" w:line="259" w:lineRule="auto"/>
        <w:jc w:val="left"/>
        <w:rPr>
          <w:rFonts w:cs="Times New Roman"/>
          <w:spacing w:val="0"/>
          <w:lang w:val="es-DO"/>
        </w:rPr>
      </w:pPr>
      <w:bookmarkStart w:id="20" w:name="_Toc154736680"/>
      <w:bookmarkStart w:id="21" w:name="_Toc216952209"/>
      <w:r w:rsidRPr="00232EBB">
        <w:rPr>
          <w:rFonts w:cs="Times New Roman"/>
          <w:spacing w:val="0"/>
          <w:lang w:val="es-DO"/>
        </w:rPr>
        <w:lastRenderedPageBreak/>
        <w:t xml:space="preserve">2.4 </w:t>
      </w:r>
      <w:r w:rsidR="00776592" w:rsidRPr="00232EBB">
        <w:rPr>
          <w:rFonts w:cs="Times New Roman"/>
          <w:spacing w:val="0"/>
          <w:lang w:val="es-DO"/>
        </w:rPr>
        <w:t xml:space="preserve">Listado de los Principales </w:t>
      </w:r>
      <w:bookmarkEnd w:id="20"/>
      <w:r w:rsidR="00247D12" w:rsidRPr="00232EBB">
        <w:rPr>
          <w:rFonts w:cs="Times New Roman"/>
          <w:spacing w:val="0"/>
          <w:lang w:val="es-DO"/>
        </w:rPr>
        <w:t>funcionarios</w:t>
      </w:r>
      <w:bookmarkEnd w:id="21"/>
    </w:p>
    <w:p w14:paraId="504CC2A7" w14:textId="77777777" w:rsidR="00776592" w:rsidRPr="00232EBB" w:rsidRDefault="00776592" w:rsidP="009E3A89">
      <w:pPr>
        <w:pStyle w:val="Index1"/>
        <w:rPr>
          <w:rFonts w:ascii="Times New Roman" w:hAnsi="Times New Roman" w:cs="Times New Roman"/>
          <w:b w:val="0"/>
          <w:bCs w:val="0"/>
          <w:color w:val="767171"/>
          <w:spacing w:val="20"/>
          <w:sz w:val="24"/>
          <w:szCs w:val="24"/>
        </w:rPr>
      </w:pPr>
      <w:r w:rsidRPr="00232EBB">
        <w:rPr>
          <w:rFonts w:ascii="Times New Roman" w:hAnsi="Times New Roman" w:cs="Times New Roman"/>
          <w:b w:val="0"/>
          <w:bCs w:val="0"/>
          <w:color w:val="767171"/>
          <w:spacing w:val="20"/>
          <w:sz w:val="24"/>
          <w:szCs w:val="24"/>
        </w:rPr>
        <w:t>HENRY SAHDALÁ DUMIT</w:t>
      </w:r>
    </w:p>
    <w:p w14:paraId="2BD47422" w14:textId="77777777" w:rsidR="00776592" w:rsidRPr="00232EBB" w:rsidRDefault="00776592" w:rsidP="009E3A89">
      <w:pPr>
        <w:pStyle w:val="Index1"/>
        <w:rPr>
          <w:rFonts w:ascii="Times New Roman" w:hAnsi="Times New Roman" w:cs="Times New Roman"/>
          <w:b w:val="0"/>
          <w:bCs w:val="0"/>
          <w:color w:val="767171"/>
          <w:spacing w:val="20"/>
          <w:sz w:val="24"/>
          <w:szCs w:val="24"/>
        </w:rPr>
      </w:pPr>
      <w:r w:rsidRPr="00232EBB">
        <w:rPr>
          <w:rFonts w:ascii="Times New Roman" w:hAnsi="Times New Roman" w:cs="Times New Roman"/>
          <w:b w:val="0"/>
          <w:bCs w:val="0"/>
          <w:color w:val="767171"/>
          <w:spacing w:val="20"/>
          <w:sz w:val="24"/>
          <w:szCs w:val="24"/>
        </w:rPr>
        <w:t>Tesorero de la Seguridad Social</w:t>
      </w:r>
    </w:p>
    <w:p w14:paraId="107812AC" w14:textId="77777777" w:rsidR="00776592" w:rsidRPr="00232EBB" w:rsidRDefault="00776592" w:rsidP="009E3A89">
      <w:pPr>
        <w:pStyle w:val="Index1"/>
        <w:rPr>
          <w:rFonts w:ascii="Times New Roman" w:hAnsi="Times New Roman" w:cs="Times New Roman"/>
          <w:b w:val="0"/>
          <w:bCs w:val="0"/>
          <w:color w:val="767171"/>
          <w:spacing w:val="20"/>
          <w:sz w:val="24"/>
          <w:szCs w:val="24"/>
        </w:rPr>
      </w:pPr>
    </w:p>
    <w:p w14:paraId="69710D8C" w14:textId="63F1CDFF" w:rsidR="00776592" w:rsidRPr="00232EBB" w:rsidRDefault="00776592" w:rsidP="009E3A89">
      <w:pPr>
        <w:pStyle w:val="Index1"/>
        <w:rPr>
          <w:rFonts w:ascii="Times New Roman" w:hAnsi="Times New Roman" w:cs="Times New Roman"/>
          <w:b w:val="0"/>
          <w:bCs w:val="0"/>
          <w:color w:val="767171"/>
          <w:spacing w:val="20"/>
          <w:sz w:val="24"/>
          <w:szCs w:val="24"/>
        </w:rPr>
      </w:pPr>
      <w:r w:rsidRPr="00232EBB">
        <w:rPr>
          <w:rFonts w:ascii="Times New Roman" w:hAnsi="Times New Roman" w:cs="Times New Roman"/>
          <w:b w:val="0"/>
          <w:bCs w:val="0"/>
          <w:color w:val="767171"/>
          <w:spacing w:val="20"/>
          <w:sz w:val="24"/>
          <w:szCs w:val="24"/>
        </w:rPr>
        <w:t>MARÍA DEL PILAR PEÑA DE ÁLVAREZ</w:t>
      </w:r>
    </w:p>
    <w:p w14:paraId="3121B57D" w14:textId="77777777" w:rsidR="00776592" w:rsidRPr="00232EBB" w:rsidRDefault="00776592" w:rsidP="009E3A89">
      <w:pPr>
        <w:pStyle w:val="Index1"/>
        <w:rPr>
          <w:rFonts w:ascii="Times New Roman" w:hAnsi="Times New Roman" w:cs="Times New Roman"/>
          <w:b w:val="0"/>
          <w:bCs w:val="0"/>
          <w:color w:val="767171"/>
          <w:spacing w:val="20"/>
          <w:sz w:val="24"/>
          <w:szCs w:val="24"/>
        </w:rPr>
      </w:pPr>
      <w:r w:rsidRPr="00232EBB">
        <w:rPr>
          <w:rFonts w:ascii="Times New Roman" w:hAnsi="Times New Roman" w:cs="Times New Roman"/>
          <w:b w:val="0"/>
          <w:bCs w:val="0"/>
          <w:color w:val="767171"/>
          <w:spacing w:val="20"/>
          <w:sz w:val="24"/>
          <w:szCs w:val="24"/>
        </w:rPr>
        <w:t>Directora de Recursos Humanos</w:t>
      </w:r>
    </w:p>
    <w:p w14:paraId="753C3906" w14:textId="77777777" w:rsidR="00776592" w:rsidRPr="00232EBB" w:rsidRDefault="00776592" w:rsidP="009E3A89">
      <w:pPr>
        <w:pStyle w:val="Index1"/>
        <w:rPr>
          <w:rFonts w:ascii="Times New Roman" w:hAnsi="Times New Roman" w:cs="Times New Roman"/>
          <w:b w:val="0"/>
          <w:bCs w:val="0"/>
          <w:color w:val="767171"/>
          <w:spacing w:val="20"/>
          <w:sz w:val="24"/>
          <w:szCs w:val="24"/>
        </w:rPr>
      </w:pPr>
    </w:p>
    <w:p w14:paraId="2264995C" w14:textId="77777777" w:rsidR="00776592" w:rsidRPr="00232EBB" w:rsidRDefault="00776592" w:rsidP="009E3A89">
      <w:pPr>
        <w:pStyle w:val="Index1"/>
        <w:rPr>
          <w:rFonts w:ascii="Times New Roman" w:hAnsi="Times New Roman" w:cs="Times New Roman"/>
          <w:b w:val="0"/>
          <w:bCs w:val="0"/>
          <w:color w:val="767171"/>
          <w:spacing w:val="20"/>
          <w:sz w:val="24"/>
          <w:szCs w:val="24"/>
        </w:rPr>
      </w:pPr>
      <w:r w:rsidRPr="00232EBB">
        <w:rPr>
          <w:rFonts w:ascii="Times New Roman" w:hAnsi="Times New Roman" w:cs="Times New Roman"/>
          <w:b w:val="0"/>
          <w:bCs w:val="0"/>
          <w:color w:val="767171"/>
          <w:spacing w:val="20"/>
          <w:sz w:val="24"/>
          <w:szCs w:val="24"/>
        </w:rPr>
        <w:t>MARINA INÉS FIALLO CABRAL</w:t>
      </w:r>
    </w:p>
    <w:p w14:paraId="085C33C5" w14:textId="4E78A1FA" w:rsidR="00776592" w:rsidRPr="00232EBB" w:rsidRDefault="00776592" w:rsidP="009E3A89">
      <w:pPr>
        <w:pStyle w:val="Index1"/>
        <w:rPr>
          <w:rFonts w:ascii="Times New Roman" w:hAnsi="Times New Roman" w:cs="Times New Roman"/>
          <w:b w:val="0"/>
          <w:bCs w:val="0"/>
          <w:color w:val="767171"/>
          <w:spacing w:val="20"/>
          <w:sz w:val="24"/>
          <w:szCs w:val="24"/>
        </w:rPr>
      </w:pPr>
      <w:r w:rsidRPr="00232EBB">
        <w:rPr>
          <w:rFonts w:ascii="Times New Roman" w:hAnsi="Times New Roman" w:cs="Times New Roman"/>
          <w:b w:val="0"/>
          <w:bCs w:val="0"/>
          <w:color w:val="767171"/>
          <w:spacing w:val="20"/>
          <w:sz w:val="24"/>
          <w:szCs w:val="24"/>
        </w:rPr>
        <w:t>Directora Administrativa</w:t>
      </w:r>
    </w:p>
    <w:p w14:paraId="543ABBC5" w14:textId="77777777" w:rsidR="00776592" w:rsidRPr="00232EBB" w:rsidRDefault="00776592" w:rsidP="009E3A89">
      <w:pPr>
        <w:pStyle w:val="Index1"/>
        <w:rPr>
          <w:rFonts w:ascii="Times New Roman" w:hAnsi="Times New Roman" w:cs="Times New Roman"/>
          <w:b w:val="0"/>
          <w:bCs w:val="0"/>
          <w:color w:val="767171"/>
          <w:spacing w:val="20"/>
          <w:sz w:val="24"/>
          <w:szCs w:val="24"/>
        </w:rPr>
      </w:pPr>
    </w:p>
    <w:p w14:paraId="6C425F0A" w14:textId="77777777" w:rsidR="00776592" w:rsidRPr="00232EBB" w:rsidRDefault="00776592" w:rsidP="009E3A89">
      <w:pPr>
        <w:pStyle w:val="Index1"/>
        <w:rPr>
          <w:rFonts w:ascii="Times New Roman" w:hAnsi="Times New Roman" w:cs="Times New Roman"/>
          <w:b w:val="0"/>
          <w:bCs w:val="0"/>
          <w:color w:val="767171"/>
          <w:spacing w:val="20"/>
          <w:sz w:val="24"/>
          <w:szCs w:val="24"/>
        </w:rPr>
      </w:pPr>
      <w:r w:rsidRPr="00232EBB">
        <w:rPr>
          <w:rFonts w:ascii="Times New Roman" w:hAnsi="Times New Roman" w:cs="Times New Roman"/>
          <w:b w:val="0"/>
          <w:bCs w:val="0"/>
          <w:color w:val="767171"/>
          <w:spacing w:val="20"/>
          <w:sz w:val="24"/>
          <w:szCs w:val="24"/>
        </w:rPr>
        <w:t>JOSÉ ISRAEL DEL ORBE ANTONIO</w:t>
      </w:r>
    </w:p>
    <w:p w14:paraId="4944E0BE" w14:textId="04EAD4B5" w:rsidR="00776592" w:rsidRPr="00232EBB" w:rsidRDefault="00776592" w:rsidP="009E3A89">
      <w:pPr>
        <w:pStyle w:val="Index1"/>
        <w:rPr>
          <w:rFonts w:ascii="Times New Roman" w:hAnsi="Times New Roman" w:cs="Times New Roman"/>
          <w:b w:val="0"/>
          <w:bCs w:val="0"/>
          <w:color w:val="767171"/>
          <w:spacing w:val="20"/>
          <w:sz w:val="24"/>
          <w:szCs w:val="24"/>
        </w:rPr>
      </w:pPr>
      <w:r w:rsidRPr="00232EBB">
        <w:rPr>
          <w:rFonts w:ascii="Times New Roman" w:hAnsi="Times New Roman" w:cs="Times New Roman"/>
          <w:b w:val="0"/>
          <w:bCs w:val="0"/>
          <w:color w:val="767171"/>
          <w:spacing w:val="20"/>
          <w:sz w:val="24"/>
          <w:szCs w:val="24"/>
        </w:rPr>
        <w:t>Director de Finanzas</w:t>
      </w:r>
    </w:p>
    <w:p w14:paraId="726EB841" w14:textId="77777777" w:rsidR="00776592" w:rsidRPr="00232EBB" w:rsidRDefault="00776592" w:rsidP="009E3A89">
      <w:pPr>
        <w:pStyle w:val="Index1"/>
        <w:rPr>
          <w:rFonts w:ascii="Times New Roman" w:hAnsi="Times New Roman" w:cs="Times New Roman"/>
          <w:b w:val="0"/>
          <w:bCs w:val="0"/>
          <w:color w:val="767171"/>
          <w:spacing w:val="20"/>
          <w:sz w:val="24"/>
          <w:szCs w:val="24"/>
        </w:rPr>
      </w:pPr>
    </w:p>
    <w:p w14:paraId="1C9F90A6" w14:textId="77777777" w:rsidR="00776592" w:rsidRPr="00232EBB" w:rsidRDefault="00776592" w:rsidP="009E3A89">
      <w:pPr>
        <w:pStyle w:val="Index1"/>
        <w:rPr>
          <w:rFonts w:ascii="Times New Roman" w:hAnsi="Times New Roman" w:cs="Times New Roman"/>
          <w:b w:val="0"/>
          <w:bCs w:val="0"/>
          <w:color w:val="767171"/>
          <w:spacing w:val="20"/>
          <w:sz w:val="24"/>
          <w:szCs w:val="24"/>
        </w:rPr>
      </w:pPr>
      <w:r w:rsidRPr="00232EBB">
        <w:rPr>
          <w:rFonts w:ascii="Times New Roman" w:hAnsi="Times New Roman" w:cs="Times New Roman"/>
          <w:b w:val="0"/>
          <w:bCs w:val="0"/>
          <w:color w:val="767171"/>
          <w:spacing w:val="20"/>
          <w:sz w:val="24"/>
          <w:szCs w:val="24"/>
        </w:rPr>
        <w:t>HÉCTOR EMILIO MOTA PORTES</w:t>
      </w:r>
    </w:p>
    <w:p w14:paraId="307CEDAC" w14:textId="10BA978E" w:rsidR="00776592" w:rsidRPr="00232EBB" w:rsidRDefault="00776592" w:rsidP="009E3A89">
      <w:pPr>
        <w:pStyle w:val="Index1"/>
        <w:rPr>
          <w:rFonts w:ascii="Times New Roman" w:hAnsi="Times New Roman" w:cs="Times New Roman"/>
          <w:b w:val="0"/>
          <w:bCs w:val="0"/>
          <w:color w:val="767171"/>
          <w:spacing w:val="20"/>
          <w:sz w:val="24"/>
          <w:szCs w:val="24"/>
        </w:rPr>
      </w:pPr>
      <w:r w:rsidRPr="00232EBB">
        <w:rPr>
          <w:rFonts w:ascii="Times New Roman" w:hAnsi="Times New Roman" w:cs="Times New Roman"/>
          <w:b w:val="0"/>
          <w:bCs w:val="0"/>
          <w:color w:val="767171"/>
          <w:spacing w:val="20"/>
          <w:sz w:val="24"/>
          <w:szCs w:val="24"/>
        </w:rPr>
        <w:t xml:space="preserve">Director de Tecnología de la Información y </w:t>
      </w:r>
      <w:r w:rsidR="001403FB" w:rsidRPr="00232EBB">
        <w:rPr>
          <w:rFonts w:ascii="Times New Roman" w:hAnsi="Times New Roman" w:cs="Times New Roman"/>
          <w:b w:val="0"/>
          <w:bCs w:val="0"/>
          <w:color w:val="767171"/>
          <w:spacing w:val="20"/>
          <w:sz w:val="24"/>
          <w:szCs w:val="24"/>
        </w:rPr>
        <w:t>Comunicaciones</w:t>
      </w:r>
    </w:p>
    <w:p w14:paraId="43B6B042" w14:textId="77777777" w:rsidR="00776592" w:rsidRPr="00232EBB" w:rsidRDefault="00776592" w:rsidP="009E3A89">
      <w:pPr>
        <w:pStyle w:val="Index1"/>
        <w:rPr>
          <w:rFonts w:ascii="Times New Roman" w:hAnsi="Times New Roman" w:cs="Times New Roman"/>
          <w:b w:val="0"/>
          <w:bCs w:val="0"/>
          <w:color w:val="767171"/>
          <w:spacing w:val="20"/>
          <w:sz w:val="24"/>
          <w:szCs w:val="24"/>
        </w:rPr>
      </w:pPr>
    </w:p>
    <w:p w14:paraId="5294A679" w14:textId="77777777" w:rsidR="00776592" w:rsidRPr="00232EBB" w:rsidRDefault="00776592" w:rsidP="009E3A89">
      <w:pPr>
        <w:pStyle w:val="Index1"/>
        <w:rPr>
          <w:rFonts w:ascii="Times New Roman" w:hAnsi="Times New Roman" w:cs="Times New Roman"/>
          <w:b w:val="0"/>
          <w:bCs w:val="0"/>
          <w:color w:val="767171"/>
          <w:spacing w:val="20"/>
          <w:sz w:val="24"/>
          <w:szCs w:val="24"/>
        </w:rPr>
      </w:pPr>
      <w:r w:rsidRPr="00232EBB">
        <w:rPr>
          <w:rFonts w:ascii="Times New Roman" w:hAnsi="Times New Roman" w:cs="Times New Roman"/>
          <w:b w:val="0"/>
          <w:bCs w:val="0"/>
          <w:color w:val="767171"/>
          <w:spacing w:val="20"/>
          <w:sz w:val="24"/>
          <w:szCs w:val="24"/>
        </w:rPr>
        <w:t>NERMIS CESARINA ANDÚJAR TRONCOSO</w:t>
      </w:r>
    </w:p>
    <w:p w14:paraId="2BC34946" w14:textId="77777777" w:rsidR="00776592" w:rsidRPr="00232EBB" w:rsidRDefault="00776592" w:rsidP="009E3A89">
      <w:pPr>
        <w:pStyle w:val="Index1"/>
        <w:rPr>
          <w:rFonts w:ascii="Times New Roman" w:hAnsi="Times New Roman" w:cs="Times New Roman"/>
          <w:b w:val="0"/>
          <w:bCs w:val="0"/>
          <w:color w:val="767171"/>
          <w:spacing w:val="20"/>
          <w:sz w:val="24"/>
          <w:szCs w:val="24"/>
        </w:rPr>
      </w:pPr>
      <w:r w:rsidRPr="00232EBB">
        <w:rPr>
          <w:rFonts w:ascii="Times New Roman" w:hAnsi="Times New Roman" w:cs="Times New Roman"/>
          <w:b w:val="0"/>
          <w:bCs w:val="0"/>
          <w:color w:val="767171"/>
          <w:spacing w:val="20"/>
          <w:sz w:val="24"/>
          <w:szCs w:val="24"/>
        </w:rPr>
        <w:t>Directora Jurídica</w:t>
      </w:r>
    </w:p>
    <w:p w14:paraId="7DDEC9AF" w14:textId="77777777" w:rsidR="00776592" w:rsidRPr="00232EBB" w:rsidRDefault="00776592" w:rsidP="009E3A89">
      <w:pPr>
        <w:pStyle w:val="Index1"/>
        <w:rPr>
          <w:rFonts w:ascii="Times New Roman" w:hAnsi="Times New Roman" w:cs="Times New Roman"/>
          <w:b w:val="0"/>
          <w:bCs w:val="0"/>
          <w:color w:val="767171"/>
          <w:spacing w:val="20"/>
          <w:sz w:val="24"/>
          <w:szCs w:val="24"/>
        </w:rPr>
      </w:pPr>
    </w:p>
    <w:p w14:paraId="66EC34CF" w14:textId="77777777" w:rsidR="00776592" w:rsidRPr="00232EBB" w:rsidRDefault="00776592" w:rsidP="009E3A89">
      <w:pPr>
        <w:pStyle w:val="Index1"/>
        <w:rPr>
          <w:rFonts w:ascii="Times New Roman" w:hAnsi="Times New Roman" w:cs="Times New Roman"/>
          <w:b w:val="0"/>
          <w:bCs w:val="0"/>
          <w:color w:val="767171"/>
          <w:spacing w:val="20"/>
          <w:sz w:val="24"/>
          <w:szCs w:val="24"/>
        </w:rPr>
      </w:pPr>
      <w:r w:rsidRPr="00232EBB">
        <w:rPr>
          <w:rFonts w:ascii="Times New Roman" w:hAnsi="Times New Roman" w:cs="Times New Roman"/>
          <w:b w:val="0"/>
          <w:bCs w:val="0"/>
          <w:color w:val="767171"/>
          <w:spacing w:val="20"/>
          <w:sz w:val="24"/>
          <w:szCs w:val="24"/>
        </w:rPr>
        <w:t>SAHADIA ERCILIA CRUZ ABREU</w:t>
      </w:r>
    </w:p>
    <w:p w14:paraId="0EB2DB51" w14:textId="6154EA84" w:rsidR="00776592" w:rsidRPr="00232EBB" w:rsidRDefault="00776592" w:rsidP="009E3A89">
      <w:pPr>
        <w:pStyle w:val="Index1"/>
        <w:rPr>
          <w:rFonts w:ascii="Times New Roman" w:hAnsi="Times New Roman" w:cs="Times New Roman"/>
          <w:b w:val="0"/>
          <w:bCs w:val="0"/>
          <w:color w:val="767171"/>
          <w:spacing w:val="20"/>
          <w:sz w:val="24"/>
          <w:szCs w:val="24"/>
        </w:rPr>
      </w:pPr>
      <w:r w:rsidRPr="00232EBB">
        <w:rPr>
          <w:rFonts w:ascii="Times New Roman" w:hAnsi="Times New Roman" w:cs="Times New Roman"/>
          <w:b w:val="0"/>
          <w:bCs w:val="0"/>
          <w:color w:val="767171"/>
          <w:spacing w:val="20"/>
          <w:sz w:val="24"/>
          <w:szCs w:val="24"/>
        </w:rPr>
        <w:t xml:space="preserve">Directora de </w:t>
      </w:r>
      <w:r w:rsidR="001403FB" w:rsidRPr="00232EBB">
        <w:rPr>
          <w:rFonts w:ascii="Times New Roman" w:hAnsi="Times New Roman" w:cs="Times New Roman"/>
          <w:b w:val="0"/>
          <w:bCs w:val="0"/>
          <w:color w:val="767171"/>
          <w:spacing w:val="20"/>
          <w:sz w:val="24"/>
          <w:szCs w:val="24"/>
        </w:rPr>
        <w:t>Servicios</w:t>
      </w:r>
    </w:p>
    <w:p w14:paraId="7E947E66" w14:textId="77777777" w:rsidR="00776592" w:rsidRPr="00232EBB" w:rsidRDefault="00776592" w:rsidP="009E3A89">
      <w:pPr>
        <w:pStyle w:val="Index1"/>
        <w:rPr>
          <w:rFonts w:ascii="Times New Roman" w:hAnsi="Times New Roman" w:cs="Times New Roman"/>
          <w:b w:val="0"/>
          <w:bCs w:val="0"/>
          <w:color w:val="767171"/>
          <w:spacing w:val="20"/>
          <w:sz w:val="24"/>
          <w:szCs w:val="24"/>
        </w:rPr>
      </w:pPr>
    </w:p>
    <w:p w14:paraId="21C2164D" w14:textId="77777777" w:rsidR="00776592" w:rsidRPr="00232EBB" w:rsidRDefault="00776592" w:rsidP="009E3A89">
      <w:pPr>
        <w:pStyle w:val="Index1"/>
        <w:rPr>
          <w:rFonts w:ascii="Times New Roman" w:hAnsi="Times New Roman" w:cs="Times New Roman"/>
          <w:b w:val="0"/>
          <w:bCs w:val="0"/>
          <w:color w:val="767171"/>
          <w:spacing w:val="20"/>
          <w:sz w:val="24"/>
          <w:szCs w:val="24"/>
        </w:rPr>
      </w:pPr>
      <w:r w:rsidRPr="00232EBB">
        <w:rPr>
          <w:rFonts w:ascii="Times New Roman" w:hAnsi="Times New Roman" w:cs="Times New Roman"/>
          <w:b w:val="0"/>
          <w:bCs w:val="0"/>
          <w:color w:val="767171"/>
          <w:spacing w:val="20"/>
          <w:sz w:val="24"/>
          <w:szCs w:val="24"/>
        </w:rPr>
        <w:t>JULIA ALBERTY CREALES</w:t>
      </w:r>
    </w:p>
    <w:p w14:paraId="2DDE5C91" w14:textId="77777777" w:rsidR="00776592" w:rsidRPr="00232EBB" w:rsidRDefault="00776592" w:rsidP="009E3A89">
      <w:pPr>
        <w:pStyle w:val="Index1"/>
        <w:rPr>
          <w:rFonts w:ascii="Times New Roman" w:hAnsi="Times New Roman" w:cs="Times New Roman"/>
          <w:b w:val="0"/>
          <w:bCs w:val="0"/>
          <w:color w:val="767171"/>
          <w:spacing w:val="20"/>
          <w:sz w:val="24"/>
          <w:szCs w:val="24"/>
        </w:rPr>
      </w:pPr>
      <w:r w:rsidRPr="00232EBB">
        <w:rPr>
          <w:rFonts w:ascii="Times New Roman" w:hAnsi="Times New Roman" w:cs="Times New Roman"/>
          <w:b w:val="0"/>
          <w:bCs w:val="0"/>
          <w:color w:val="767171"/>
          <w:spacing w:val="20"/>
          <w:sz w:val="24"/>
          <w:szCs w:val="24"/>
        </w:rPr>
        <w:t>Directora de Fiscalización Externa</w:t>
      </w:r>
    </w:p>
    <w:p w14:paraId="46920349" w14:textId="77777777" w:rsidR="00776592" w:rsidRPr="00232EBB" w:rsidRDefault="00776592" w:rsidP="009E3A89">
      <w:pPr>
        <w:pStyle w:val="Index1"/>
        <w:rPr>
          <w:rFonts w:ascii="Times New Roman" w:hAnsi="Times New Roman" w:cs="Times New Roman"/>
          <w:b w:val="0"/>
          <w:bCs w:val="0"/>
          <w:color w:val="767171"/>
          <w:spacing w:val="20"/>
          <w:sz w:val="24"/>
          <w:szCs w:val="24"/>
        </w:rPr>
      </w:pPr>
    </w:p>
    <w:p w14:paraId="6A94F4D6" w14:textId="77777777" w:rsidR="00776592" w:rsidRPr="00232EBB" w:rsidRDefault="00776592" w:rsidP="009E3A89">
      <w:pPr>
        <w:pStyle w:val="Index1"/>
        <w:rPr>
          <w:rFonts w:ascii="Times New Roman" w:hAnsi="Times New Roman" w:cs="Times New Roman"/>
          <w:b w:val="0"/>
          <w:bCs w:val="0"/>
          <w:color w:val="767171"/>
          <w:spacing w:val="20"/>
          <w:sz w:val="24"/>
          <w:szCs w:val="24"/>
        </w:rPr>
      </w:pPr>
      <w:r w:rsidRPr="00232EBB">
        <w:rPr>
          <w:rFonts w:ascii="Times New Roman" w:hAnsi="Times New Roman" w:cs="Times New Roman"/>
          <w:b w:val="0"/>
          <w:bCs w:val="0"/>
          <w:color w:val="767171"/>
          <w:spacing w:val="20"/>
          <w:sz w:val="24"/>
          <w:szCs w:val="24"/>
        </w:rPr>
        <w:t>LAURA PATRICIA HERNÁNDEZ CABRERA</w:t>
      </w:r>
    </w:p>
    <w:p w14:paraId="371B7390" w14:textId="47F7AD4A" w:rsidR="00B76DB7" w:rsidRPr="00232EBB" w:rsidRDefault="00776592" w:rsidP="009E3A89">
      <w:pPr>
        <w:spacing w:before="240" w:after="240" w:line="360" w:lineRule="auto"/>
        <w:rPr>
          <w:rFonts w:eastAsia="Calibri"/>
          <w:lang w:val="es-ES"/>
        </w:rPr>
      </w:pPr>
      <w:r w:rsidRPr="00232EBB">
        <w:rPr>
          <w:lang w:val="es-ES"/>
        </w:rPr>
        <w:t>Directora de Planificación y Desarrollo</w:t>
      </w:r>
    </w:p>
    <w:p w14:paraId="14FE93C5" w14:textId="163A1341" w:rsidR="00DA205F" w:rsidRPr="00232EBB" w:rsidRDefault="004544B4" w:rsidP="009E3A89">
      <w:pPr>
        <w:pStyle w:val="Heading1"/>
        <w:spacing w:after="240" w:line="259" w:lineRule="auto"/>
        <w:jc w:val="left"/>
        <w:rPr>
          <w:rFonts w:cs="Times New Roman"/>
          <w:spacing w:val="0"/>
          <w:lang w:val="es-DO"/>
        </w:rPr>
      </w:pPr>
      <w:bookmarkStart w:id="22" w:name="_Toc154736681"/>
      <w:bookmarkStart w:id="23" w:name="_Toc216952210"/>
      <w:r w:rsidRPr="00232EBB">
        <w:rPr>
          <w:rFonts w:cs="Times New Roman"/>
          <w:spacing w:val="0"/>
          <w:lang w:val="es-DO"/>
        </w:rPr>
        <w:lastRenderedPageBreak/>
        <w:t xml:space="preserve">2.5 </w:t>
      </w:r>
      <w:r w:rsidR="00DA205F" w:rsidRPr="00232EBB">
        <w:rPr>
          <w:rFonts w:cs="Times New Roman"/>
          <w:spacing w:val="0"/>
          <w:lang w:val="es-DO"/>
        </w:rPr>
        <w:t>Planificación Estratégica Institucional</w:t>
      </w:r>
      <w:bookmarkEnd w:id="22"/>
      <w:bookmarkEnd w:id="23"/>
    </w:p>
    <w:p w14:paraId="38153FFB" w14:textId="0E480FEF" w:rsidR="009C7DCA" w:rsidRPr="00232EBB" w:rsidRDefault="009C7DCA" w:rsidP="009C7DCA">
      <w:pPr>
        <w:spacing w:before="240" w:after="240" w:line="360" w:lineRule="auto"/>
        <w:jc w:val="both"/>
        <w:rPr>
          <w:rFonts w:eastAsia="Calibri"/>
          <w:lang w:val="es-DO"/>
        </w:rPr>
      </w:pPr>
      <w:r w:rsidRPr="00232EBB">
        <w:rPr>
          <w:rFonts w:eastAsia="Calibri"/>
          <w:lang w:val="es-DO"/>
        </w:rPr>
        <w:t xml:space="preserve">La Tesorería de Seguridad Social realizó la </w:t>
      </w:r>
      <w:r w:rsidR="007E4EA7" w:rsidRPr="00232EBB">
        <w:rPr>
          <w:rFonts w:eastAsia="Calibri"/>
          <w:lang w:val="es-DO"/>
        </w:rPr>
        <w:t>validación</w:t>
      </w:r>
      <w:r w:rsidRPr="00232EBB">
        <w:rPr>
          <w:rFonts w:eastAsia="Calibri"/>
          <w:lang w:val="es-DO"/>
        </w:rPr>
        <w:t xml:space="preserve"> de su Plan Estratégico Institucional 2025-2028, en cumplimiento </w:t>
      </w:r>
      <w:r w:rsidR="003802C5" w:rsidRPr="00232EBB">
        <w:rPr>
          <w:rFonts w:eastAsia="Calibri"/>
          <w:lang w:val="es-DO"/>
        </w:rPr>
        <w:t>con</w:t>
      </w:r>
      <w:r w:rsidRPr="00232EBB">
        <w:rPr>
          <w:rFonts w:eastAsia="Calibri"/>
          <w:lang w:val="es-DO"/>
        </w:rPr>
        <w:t xml:space="preserve"> los lineamientos que establece la Ley 498-06, así como el nuevo manual de Formulación del PEI implementado en el año 2024.</w:t>
      </w:r>
    </w:p>
    <w:p w14:paraId="224457ED" w14:textId="59C1735F" w:rsidR="009C7DCA" w:rsidRPr="00232EBB" w:rsidRDefault="009C7DCA" w:rsidP="009C7DCA">
      <w:pPr>
        <w:spacing w:before="240" w:after="240" w:line="360" w:lineRule="auto"/>
        <w:jc w:val="both"/>
        <w:rPr>
          <w:rFonts w:eastAsia="Calibri"/>
          <w:lang w:val="es-DO"/>
        </w:rPr>
      </w:pPr>
      <w:r w:rsidRPr="00232EBB">
        <w:rPr>
          <w:rFonts w:eastAsia="Calibri"/>
          <w:lang w:val="es-DO"/>
        </w:rPr>
        <w:t>Dicho plan establece las principales directrices que estará orientando a la Tesorería para ejecutar las acciones, programas y proyectos enmarcad</w:t>
      </w:r>
      <w:r w:rsidR="003802C5" w:rsidRPr="00232EBB">
        <w:rPr>
          <w:rFonts w:eastAsia="Calibri"/>
          <w:lang w:val="es-DO"/>
        </w:rPr>
        <w:t>o</w:t>
      </w:r>
      <w:r w:rsidRPr="00232EBB">
        <w:rPr>
          <w:rFonts w:eastAsia="Calibri"/>
          <w:lang w:val="es-DO"/>
        </w:rPr>
        <w:t xml:space="preserve"> en 5 ejes </w:t>
      </w:r>
      <w:r w:rsidR="003802C5" w:rsidRPr="00232EBB">
        <w:rPr>
          <w:rFonts w:eastAsia="Calibri"/>
          <w:lang w:val="es-DO"/>
        </w:rPr>
        <w:t xml:space="preserve">estratégicos </w:t>
      </w:r>
      <w:r w:rsidRPr="00232EBB">
        <w:rPr>
          <w:rFonts w:eastAsia="Calibri"/>
          <w:lang w:val="es-DO"/>
        </w:rPr>
        <w:t>durante este cuatrienio para garantizar el cumplimiento de las metas establecidas</w:t>
      </w:r>
      <w:r w:rsidR="007E4EA7" w:rsidRPr="00232EBB">
        <w:rPr>
          <w:rFonts w:eastAsia="Calibri"/>
          <w:lang w:val="es-DO"/>
        </w:rPr>
        <w:t xml:space="preserve"> y posicionarnos como una entidad </w:t>
      </w:r>
      <w:r w:rsidR="00EE5C9D" w:rsidRPr="00232EBB">
        <w:rPr>
          <w:rFonts w:eastAsia="Calibri"/>
          <w:lang w:val="es-DO"/>
        </w:rPr>
        <w:t>confiable y transparente</w:t>
      </w:r>
      <w:r w:rsidRPr="00232EBB">
        <w:rPr>
          <w:rFonts w:eastAsia="Calibri"/>
          <w:lang w:val="es-DO"/>
        </w:rPr>
        <w:t>.</w:t>
      </w:r>
    </w:p>
    <w:p w14:paraId="0577A464" w14:textId="5CD2B96A" w:rsidR="00DA205F" w:rsidRPr="00232EBB" w:rsidRDefault="00DA205F" w:rsidP="00DA205F">
      <w:pPr>
        <w:spacing w:before="240" w:after="240" w:line="360" w:lineRule="auto"/>
        <w:jc w:val="both"/>
        <w:rPr>
          <w:rFonts w:eastAsia="Calibri"/>
          <w:b/>
          <w:bCs/>
          <w:lang w:val="es-DO"/>
        </w:rPr>
      </w:pPr>
      <w:r w:rsidRPr="00232EBB">
        <w:rPr>
          <w:rFonts w:eastAsia="Calibri"/>
          <w:b/>
          <w:bCs/>
          <w:lang w:val="es-DO"/>
        </w:rPr>
        <w:t>Filosofía</w:t>
      </w:r>
    </w:p>
    <w:p w14:paraId="59EA502A" w14:textId="77777777" w:rsidR="00DA205F" w:rsidRPr="00232EBB" w:rsidRDefault="00DA205F" w:rsidP="0007713D">
      <w:pPr>
        <w:spacing w:before="240" w:after="240" w:line="360" w:lineRule="auto"/>
        <w:jc w:val="both"/>
        <w:rPr>
          <w:rFonts w:eastAsia="Calibri"/>
          <w:lang w:val="es-DO"/>
        </w:rPr>
      </w:pPr>
      <w:r w:rsidRPr="00232EBB">
        <w:rPr>
          <w:rFonts w:eastAsia="Calibri"/>
          <w:lang w:val="es-DO"/>
        </w:rPr>
        <w:t>Servir con excelencia y transparencia, siendo modelo en la gestión de la información y los recursos financieros del SDSS, dando fiel cumplimiento a las normativas vigentes, actuando con altos estándares de ética, calidad e innovación.</w:t>
      </w:r>
    </w:p>
    <w:p w14:paraId="0D12522C" w14:textId="77777777" w:rsidR="00DA205F" w:rsidRPr="00232EBB" w:rsidRDefault="00DA205F" w:rsidP="00DA205F">
      <w:pPr>
        <w:spacing w:before="240" w:after="240" w:line="360" w:lineRule="auto"/>
        <w:jc w:val="both"/>
        <w:rPr>
          <w:rFonts w:eastAsia="Calibri"/>
          <w:b/>
          <w:bCs/>
          <w:lang w:val="es-DO"/>
        </w:rPr>
      </w:pPr>
      <w:r w:rsidRPr="00232EBB">
        <w:rPr>
          <w:rFonts w:eastAsia="Calibri"/>
          <w:b/>
          <w:bCs/>
          <w:lang w:val="es-DO"/>
        </w:rPr>
        <w:t>Propuesta de Valor Externa</w:t>
      </w:r>
    </w:p>
    <w:p w14:paraId="2576BC15" w14:textId="77777777" w:rsidR="00872F78" w:rsidRPr="00232EBB" w:rsidRDefault="00872F78" w:rsidP="00DA205F">
      <w:pPr>
        <w:spacing w:before="240" w:after="240" w:line="360" w:lineRule="auto"/>
        <w:jc w:val="both"/>
        <w:rPr>
          <w:rFonts w:eastAsia="Calibri"/>
          <w:lang w:val="es-DO"/>
        </w:rPr>
      </w:pPr>
      <w:r w:rsidRPr="00232EBB">
        <w:rPr>
          <w:rFonts w:eastAsia="Calibri"/>
          <w:lang w:val="es-DO"/>
        </w:rPr>
        <w:t>La TSS está comprometida a impactar positivamente la calidad de vida de la población, con el manejo totalmente transparente de sus operaciones y los recursos, con un servicio de altos estándares adaptado a las necesidades de sus usuarios, garantizando una plataforma accesible, con los debidos niveles de seguridad e integridad de la información.</w:t>
      </w:r>
    </w:p>
    <w:p w14:paraId="47B33014" w14:textId="4704FD50" w:rsidR="00DA205F" w:rsidRPr="00232EBB" w:rsidRDefault="00DA205F" w:rsidP="00DA205F">
      <w:pPr>
        <w:spacing w:before="240" w:after="240" w:line="360" w:lineRule="auto"/>
        <w:jc w:val="both"/>
        <w:rPr>
          <w:rFonts w:eastAsia="Calibri"/>
          <w:b/>
          <w:bCs/>
          <w:lang w:val="es-DO"/>
        </w:rPr>
      </w:pPr>
      <w:r w:rsidRPr="00232EBB">
        <w:rPr>
          <w:rFonts w:eastAsia="Calibri"/>
          <w:lang w:val="es-DO"/>
        </w:rPr>
        <w:t> </w:t>
      </w:r>
      <w:r w:rsidRPr="00232EBB">
        <w:rPr>
          <w:rFonts w:eastAsia="Calibri"/>
          <w:b/>
          <w:bCs/>
          <w:lang w:val="es-DO"/>
        </w:rPr>
        <w:t>Propuesta de Valor Interna</w:t>
      </w:r>
    </w:p>
    <w:p w14:paraId="2A863682" w14:textId="48A3D59D" w:rsidR="002874E6" w:rsidRPr="00232EBB" w:rsidRDefault="00872F78" w:rsidP="00DA205F">
      <w:pPr>
        <w:spacing w:before="240" w:after="240" w:line="360" w:lineRule="auto"/>
        <w:jc w:val="both"/>
        <w:rPr>
          <w:rFonts w:eastAsia="Calibri"/>
          <w:lang w:val="es-DO"/>
        </w:rPr>
      </w:pPr>
      <w:r w:rsidRPr="00232EBB">
        <w:rPr>
          <w:rFonts w:eastAsia="Calibri"/>
          <w:lang w:val="es-DO"/>
        </w:rPr>
        <w:t xml:space="preserve">La TSS está comprometida con el bienestar y desarrollo de sus colaboradores, procurando el balance vida-trabajo, con una cultura </w:t>
      </w:r>
      <w:r w:rsidRPr="00232EBB">
        <w:rPr>
          <w:rFonts w:eastAsia="Calibri"/>
          <w:lang w:val="es-DO"/>
        </w:rPr>
        <w:lastRenderedPageBreak/>
        <w:t>enfocada en el reconocimiento basado en resultados, en un ambiente de estabilidad laboral, inclusividad y crecimiento.</w:t>
      </w:r>
      <w:r w:rsidR="002874E6" w:rsidRPr="00232EBB">
        <w:rPr>
          <w:rFonts w:eastAsia="Calibri"/>
          <w:lang w:val="es-DO"/>
        </w:rPr>
        <w:t xml:space="preserve"> </w:t>
      </w:r>
    </w:p>
    <w:p w14:paraId="32F52248" w14:textId="1375D557" w:rsidR="00DA205F" w:rsidRPr="00232EBB" w:rsidRDefault="00DA205F" w:rsidP="00872F78">
      <w:pPr>
        <w:spacing w:before="240" w:after="240" w:line="360" w:lineRule="auto"/>
        <w:jc w:val="both"/>
        <w:rPr>
          <w:rFonts w:eastAsia="Calibri"/>
          <w:b/>
          <w:bCs/>
          <w:lang w:val="es-DO"/>
        </w:rPr>
      </w:pPr>
      <w:r w:rsidRPr="00232EBB">
        <w:rPr>
          <w:rFonts w:eastAsia="Calibri"/>
          <w:b/>
          <w:bCs/>
          <w:lang w:val="es-DO"/>
        </w:rPr>
        <w:t>Política de Calidad y Seguridad de la Información</w:t>
      </w:r>
    </w:p>
    <w:p w14:paraId="047107CE" w14:textId="77777777" w:rsidR="00872F78" w:rsidRPr="00232EBB" w:rsidRDefault="00872F78" w:rsidP="00872F78">
      <w:pPr>
        <w:spacing w:before="240" w:after="240" w:line="360" w:lineRule="auto"/>
        <w:jc w:val="both"/>
        <w:rPr>
          <w:rFonts w:eastAsia="Calibri"/>
          <w:lang w:val="es-DO"/>
        </w:rPr>
      </w:pPr>
      <w:r w:rsidRPr="00232EBB">
        <w:rPr>
          <w:rFonts w:eastAsia="Calibri"/>
          <w:lang w:val="es-DO"/>
        </w:rPr>
        <w:t>La Tesorería de la Seguridad Social como entidad a cargo del proceso de recaudo, distribución y pago de las cotizaciones del Sistema Dominicano Seguridad Social (SDSS) y de la administración del Sistema Único de Información y Recaudo (SUIR), ejecuta de forma transparente los fondos y sus procesos mediante el fomento de  una cultura de cumplimiento normativo, en la cual se prohíbe el soborno y se promueven los valores éticos, reforzada por un ambiente de confianza para las denuncias libre de represalias, aplicando un sistema de consecuencias bajo la Ley de Función Pública y el Código Penal, desarrollando una efectiva gestión de riesgos que asegure la continuidad del negocio, así como la legalidad, confidencialidad, integridad y disponibilidad de los activos de información. Promueve la innovación y mejora continua de los procesos de su Sistema de Gestión Integrado, así como la satisfacción de las partes interesadas, mediante el uso de una plataforma tecnológica eficiente y un capital humano competente, para lo cual designa un equipo independiente, dotado de recursos, autoridad y con acceso a la MAE.</w:t>
      </w:r>
    </w:p>
    <w:p w14:paraId="4B2EC39E" w14:textId="7B6C4A73" w:rsidR="00DA205F" w:rsidRPr="00232EBB" w:rsidRDefault="00DA205F" w:rsidP="00DA205F">
      <w:pPr>
        <w:spacing w:before="240" w:after="240" w:line="360" w:lineRule="auto"/>
        <w:rPr>
          <w:rFonts w:eastAsia="Calibri"/>
          <w:b/>
          <w:bCs/>
          <w:lang w:val="es-DO"/>
        </w:rPr>
      </w:pPr>
      <w:r w:rsidRPr="00232EBB">
        <w:rPr>
          <w:rFonts w:eastAsia="Calibri"/>
          <w:b/>
          <w:bCs/>
          <w:lang w:val="es-DO"/>
        </w:rPr>
        <w:t>Ejes y Objetivos Estratégicos</w:t>
      </w:r>
    </w:p>
    <w:p w14:paraId="5C13559F" w14:textId="144911EC" w:rsidR="00DA205F" w:rsidRPr="00232EBB" w:rsidRDefault="00DA205F" w:rsidP="00DA205F">
      <w:pPr>
        <w:spacing w:before="240" w:after="240" w:line="360" w:lineRule="auto"/>
        <w:jc w:val="both"/>
        <w:rPr>
          <w:rFonts w:eastAsia="Calibri"/>
          <w:b/>
          <w:bCs/>
          <w:lang w:val="es-DO"/>
        </w:rPr>
      </w:pPr>
      <w:r w:rsidRPr="00232EBB">
        <w:rPr>
          <w:rFonts w:eastAsia="Calibri"/>
          <w:b/>
          <w:bCs/>
          <w:lang w:val="es-DO"/>
        </w:rPr>
        <w:t xml:space="preserve">Primer Eje: </w:t>
      </w:r>
      <w:r w:rsidR="00486049" w:rsidRPr="00232EBB">
        <w:rPr>
          <w:rFonts w:eastAsia="Calibri"/>
          <w:b/>
          <w:bCs/>
          <w:lang w:val="es-DO"/>
        </w:rPr>
        <w:t>Regulación y Supervisión</w:t>
      </w:r>
    </w:p>
    <w:p w14:paraId="20805BC9" w14:textId="77777777" w:rsidR="00486049" w:rsidRPr="00232EBB" w:rsidRDefault="00486049" w:rsidP="00DA205F">
      <w:pPr>
        <w:spacing w:before="240" w:after="240" w:line="360" w:lineRule="auto"/>
        <w:jc w:val="both"/>
        <w:rPr>
          <w:rFonts w:eastAsia="Calibri"/>
          <w:lang w:val="es-DO"/>
        </w:rPr>
      </w:pPr>
      <w:r w:rsidRPr="00232EBB">
        <w:rPr>
          <w:rFonts w:eastAsia="Calibri"/>
          <w:lang w:val="es-DO"/>
        </w:rPr>
        <w:t>Promover la efectividad de los servicios a través de la adecuada utilización del marco legal vigente, creando un entorno de cumplimiento normativo que fomenta la transparencia y responsabilidad en la gestión de los actores involucrados</w:t>
      </w:r>
    </w:p>
    <w:p w14:paraId="390D0C53" w14:textId="77777777" w:rsidR="005E4024" w:rsidRPr="00232EBB" w:rsidRDefault="005E4024" w:rsidP="00DA205F">
      <w:pPr>
        <w:spacing w:before="240" w:after="240" w:line="360" w:lineRule="auto"/>
        <w:jc w:val="both"/>
        <w:rPr>
          <w:rFonts w:eastAsia="Calibri"/>
          <w:lang w:val="es-DO"/>
        </w:rPr>
      </w:pPr>
    </w:p>
    <w:p w14:paraId="338CD8F6" w14:textId="77777777" w:rsidR="00DA205F" w:rsidRPr="00232EBB" w:rsidRDefault="00DA205F" w:rsidP="00DA205F">
      <w:pPr>
        <w:spacing w:before="240" w:after="240" w:line="360" w:lineRule="auto"/>
        <w:jc w:val="both"/>
        <w:rPr>
          <w:rFonts w:eastAsia="Calibri"/>
          <w:b/>
          <w:bCs/>
          <w:i/>
          <w:iCs/>
          <w:lang w:val="es-DO"/>
        </w:rPr>
      </w:pPr>
      <w:r w:rsidRPr="00232EBB">
        <w:rPr>
          <w:rFonts w:eastAsia="Calibri"/>
          <w:b/>
          <w:bCs/>
          <w:lang w:val="es-DO"/>
        </w:rPr>
        <w:lastRenderedPageBreak/>
        <w:t>Objetivos Estratégicos</w:t>
      </w:r>
      <w:r w:rsidRPr="00232EBB">
        <w:rPr>
          <w:rFonts w:eastAsia="Calibri"/>
          <w:b/>
          <w:bCs/>
          <w:i/>
          <w:iCs/>
          <w:lang w:val="es-DO"/>
        </w:rPr>
        <w:t>:</w:t>
      </w:r>
    </w:p>
    <w:p w14:paraId="54B1534D" w14:textId="59760963" w:rsidR="00486049" w:rsidRPr="00232EBB" w:rsidRDefault="00486049" w:rsidP="000E2299">
      <w:pPr>
        <w:pStyle w:val="ListParagraph"/>
        <w:numPr>
          <w:ilvl w:val="0"/>
          <w:numId w:val="11"/>
        </w:numPr>
        <w:spacing w:before="240" w:after="24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t>Mejorar la calidad del recaudo.</w:t>
      </w:r>
    </w:p>
    <w:p w14:paraId="52EC9490" w14:textId="3BEFB9C7" w:rsidR="00486049" w:rsidRPr="00232EBB" w:rsidRDefault="00486049" w:rsidP="000E2299">
      <w:pPr>
        <w:pStyle w:val="ListParagraph"/>
        <w:numPr>
          <w:ilvl w:val="0"/>
          <w:numId w:val="11"/>
        </w:numPr>
        <w:spacing w:before="240" w:after="24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t>Asegurar el cumplimiento normativo del uso de la data.</w:t>
      </w:r>
    </w:p>
    <w:p w14:paraId="191D88E5" w14:textId="268060CD" w:rsidR="00DA205F" w:rsidRPr="00232EBB" w:rsidRDefault="00DA205F" w:rsidP="00DA205F">
      <w:pPr>
        <w:spacing w:before="240" w:after="240" w:line="360" w:lineRule="auto"/>
        <w:jc w:val="both"/>
        <w:rPr>
          <w:rFonts w:eastAsia="Calibri"/>
          <w:b/>
          <w:bCs/>
          <w:lang w:val="es-DO"/>
        </w:rPr>
      </w:pPr>
      <w:r w:rsidRPr="00232EBB">
        <w:rPr>
          <w:rFonts w:eastAsia="Calibri"/>
          <w:b/>
          <w:bCs/>
          <w:lang w:val="es-DO"/>
        </w:rPr>
        <w:t xml:space="preserve">Segundo Eje: </w:t>
      </w:r>
      <w:r w:rsidR="00486049" w:rsidRPr="00232EBB">
        <w:rPr>
          <w:rFonts w:eastAsia="Calibri"/>
          <w:b/>
          <w:bCs/>
          <w:lang w:val="es-DO"/>
        </w:rPr>
        <w:t>Servicios y Posicionamiento Institucional</w:t>
      </w:r>
    </w:p>
    <w:p w14:paraId="2957677D" w14:textId="77777777" w:rsidR="00486049" w:rsidRPr="00232EBB" w:rsidRDefault="00486049" w:rsidP="00DA205F">
      <w:pPr>
        <w:spacing w:before="240" w:after="240" w:line="360" w:lineRule="auto"/>
        <w:jc w:val="both"/>
        <w:rPr>
          <w:rFonts w:eastAsia="Calibri"/>
          <w:lang w:val="es-DO"/>
        </w:rPr>
      </w:pPr>
      <w:r w:rsidRPr="00232EBB">
        <w:rPr>
          <w:rFonts w:eastAsia="Calibri"/>
          <w:lang w:val="es-DO"/>
        </w:rPr>
        <w:t>Consolidar la imagen como una entidad transparente, accesible y eficiente, fortaleciendo las relaciones interinstitucionales y mejorando la accesibilidad de los servicios para los usuarios, así como elevar la conciencia de las obligaciones de la población con el SDSS.</w:t>
      </w:r>
    </w:p>
    <w:p w14:paraId="00EB7CCA" w14:textId="1929E8E0" w:rsidR="00DA205F" w:rsidRPr="00232EBB" w:rsidRDefault="00DA205F" w:rsidP="00DA205F">
      <w:pPr>
        <w:spacing w:before="240" w:after="240" w:line="360" w:lineRule="auto"/>
        <w:jc w:val="both"/>
        <w:rPr>
          <w:rFonts w:eastAsia="Calibri"/>
          <w:b/>
          <w:bCs/>
          <w:lang w:val="es-DO"/>
        </w:rPr>
      </w:pPr>
      <w:r w:rsidRPr="00232EBB">
        <w:rPr>
          <w:rFonts w:eastAsia="Calibri"/>
          <w:b/>
          <w:bCs/>
          <w:lang w:val="es-DO"/>
        </w:rPr>
        <w:t>Objetivos Estratégicos:</w:t>
      </w:r>
    </w:p>
    <w:p w14:paraId="559BAE97" w14:textId="2F376C76" w:rsidR="00486049" w:rsidRPr="00232EBB" w:rsidRDefault="00486049" w:rsidP="00862F3D">
      <w:pPr>
        <w:pStyle w:val="ListParagraph"/>
        <w:numPr>
          <w:ilvl w:val="0"/>
          <w:numId w:val="4"/>
        </w:numPr>
        <w:spacing w:before="240" w:after="24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t>Fortalecer la experiencia del usuario.</w:t>
      </w:r>
    </w:p>
    <w:p w14:paraId="0C42415D" w14:textId="1F739563" w:rsidR="00486049" w:rsidRPr="00232EBB" w:rsidRDefault="00486049" w:rsidP="00862F3D">
      <w:pPr>
        <w:pStyle w:val="ListParagraph"/>
        <w:numPr>
          <w:ilvl w:val="0"/>
          <w:numId w:val="4"/>
        </w:numPr>
        <w:spacing w:before="240" w:after="24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t>Potenciar la imagen y la percepción pública de la TSS como una entidad transparente, accesible y eficiente.</w:t>
      </w:r>
    </w:p>
    <w:p w14:paraId="1DE904A5" w14:textId="56C65B33" w:rsidR="00DA205F" w:rsidRPr="00232EBB" w:rsidRDefault="00DA205F" w:rsidP="00DA205F">
      <w:pPr>
        <w:spacing w:before="240" w:after="240" w:line="360" w:lineRule="auto"/>
        <w:jc w:val="both"/>
        <w:rPr>
          <w:rFonts w:eastAsia="Calibri"/>
          <w:b/>
          <w:bCs/>
          <w:lang w:val="es-DO"/>
        </w:rPr>
      </w:pPr>
      <w:r w:rsidRPr="00232EBB">
        <w:rPr>
          <w:rFonts w:eastAsia="Calibri"/>
          <w:b/>
          <w:bCs/>
          <w:lang w:val="es-DO"/>
        </w:rPr>
        <w:t xml:space="preserve">Tercer Eje: </w:t>
      </w:r>
      <w:r w:rsidR="00486049" w:rsidRPr="00232EBB">
        <w:rPr>
          <w:rFonts w:eastAsia="Calibri"/>
          <w:b/>
          <w:bCs/>
          <w:lang w:val="es-DO"/>
        </w:rPr>
        <w:t>Gobernanza y Excelencia Operativa</w:t>
      </w:r>
    </w:p>
    <w:p w14:paraId="10AD3220" w14:textId="5EA4ABBD" w:rsidR="00486049" w:rsidRPr="00232EBB" w:rsidRDefault="00486049" w:rsidP="00DA205F">
      <w:pPr>
        <w:spacing w:before="240" w:after="240" w:line="360" w:lineRule="auto"/>
        <w:jc w:val="both"/>
        <w:rPr>
          <w:rFonts w:eastAsia="Calibri"/>
          <w:lang w:val="es-DO"/>
        </w:rPr>
      </w:pPr>
      <w:r w:rsidRPr="00232EBB">
        <w:rPr>
          <w:rFonts w:eastAsia="Calibri"/>
          <w:lang w:val="es-DO"/>
        </w:rPr>
        <w:t>Establecer una organización ágil y eficiente que responda de manera efectiva a las necesidades de los usuarios y del personal, a través de la optimización de los procesos internos mediante la digitalización y estandarización, promoviendo al mismo tiempo la sostenibilidad ambiental</w:t>
      </w:r>
      <w:r w:rsidR="00CF1211" w:rsidRPr="00232EBB">
        <w:rPr>
          <w:rFonts w:eastAsia="Calibri"/>
          <w:lang w:val="es-DO"/>
        </w:rPr>
        <w:t>.</w:t>
      </w:r>
    </w:p>
    <w:p w14:paraId="0015873D" w14:textId="77777777" w:rsidR="00DA205F" w:rsidRPr="00232EBB" w:rsidRDefault="00DA205F" w:rsidP="00DA205F">
      <w:pPr>
        <w:spacing w:before="240" w:after="240" w:line="360" w:lineRule="auto"/>
        <w:jc w:val="both"/>
        <w:rPr>
          <w:rFonts w:eastAsia="Calibri"/>
          <w:b/>
          <w:bCs/>
          <w:lang w:val="es-DO"/>
        </w:rPr>
      </w:pPr>
      <w:r w:rsidRPr="00232EBB">
        <w:rPr>
          <w:rFonts w:eastAsia="Calibri"/>
          <w:b/>
          <w:bCs/>
          <w:lang w:val="es-DO"/>
        </w:rPr>
        <w:t>Objetivos Estratégicos:</w:t>
      </w:r>
    </w:p>
    <w:p w14:paraId="42855D39" w14:textId="77777777" w:rsidR="00486049" w:rsidRPr="00232EBB" w:rsidRDefault="00486049" w:rsidP="003D62C6">
      <w:pPr>
        <w:pStyle w:val="ListParagraph"/>
        <w:numPr>
          <w:ilvl w:val="0"/>
          <w:numId w:val="52"/>
        </w:numPr>
        <w:spacing w:before="240" w:after="24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t>Fortalecer los procesos internos de la institución.</w:t>
      </w:r>
    </w:p>
    <w:p w14:paraId="0A3DA0A5" w14:textId="55A8F4D6" w:rsidR="00DA205F" w:rsidRPr="00232EBB" w:rsidRDefault="00486049" w:rsidP="003D62C6">
      <w:pPr>
        <w:pStyle w:val="ListParagraph"/>
        <w:numPr>
          <w:ilvl w:val="0"/>
          <w:numId w:val="52"/>
        </w:numPr>
        <w:spacing w:before="240" w:after="24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t xml:space="preserve">Orientar el desempeño de la institución hacia la gestión ambiental. </w:t>
      </w:r>
      <w:r w:rsidR="00DA205F" w:rsidRPr="00232EBB">
        <w:rPr>
          <w:rFonts w:ascii="Times New Roman" w:hAnsi="Times New Roman"/>
          <w:color w:val="767171"/>
          <w:spacing w:val="20"/>
          <w:sz w:val="24"/>
          <w:szCs w:val="24"/>
        </w:rPr>
        <w:t>Lograr y mantener un buen clima organizacional que contribuya al bienestar, el buen desempeño y la motivación de los colaboradores.</w:t>
      </w:r>
    </w:p>
    <w:p w14:paraId="61B86DFC" w14:textId="77777777" w:rsidR="00155102" w:rsidRPr="00232EBB" w:rsidRDefault="00155102" w:rsidP="00155102">
      <w:pPr>
        <w:pStyle w:val="ListParagraph"/>
        <w:spacing w:before="240" w:after="240" w:line="360" w:lineRule="auto"/>
        <w:ind w:left="810" w:firstLine="0"/>
        <w:rPr>
          <w:rFonts w:ascii="Times New Roman" w:hAnsi="Times New Roman"/>
          <w:color w:val="767171"/>
          <w:spacing w:val="20"/>
          <w:sz w:val="24"/>
          <w:szCs w:val="24"/>
        </w:rPr>
      </w:pPr>
    </w:p>
    <w:p w14:paraId="44982D7A" w14:textId="27E02D1E" w:rsidR="00CF1211" w:rsidRPr="00232EBB" w:rsidRDefault="00CF1211" w:rsidP="00CF1211">
      <w:pPr>
        <w:spacing w:before="240" w:after="240" w:line="360" w:lineRule="auto"/>
        <w:jc w:val="both"/>
        <w:rPr>
          <w:rFonts w:eastAsia="Calibri"/>
          <w:b/>
          <w:bCs/>
          <w:lang w:val="es-DO"/>
        </w:rPr>
      </w:pPr>
      <w:r w:rsidRPr="00232EBB">
        <w:rPr>
          <w:rFonts w:eastAsia="Calibri"/>
          <w:b/>
          <w:bCs/>
          <w:lang w:val="es-DO"/>
        </w:rPr>
        <w:lastRenderedPageBreak/>
        <w:t>Cuarto Eje: Riesgos y Control de Gestión</w:t>
      </w:r>
    </w:p>
    <w:p w14:paraId="21157F42" w14:textId="02CBC72D" w:rsidR="00486049" w:rsidRPr="00232EBB" w:rsidRDefault="00CF1211" w:rsidP="00CF1211">
      <w:pPr>
        <w:spacing w:before="240" w:after="240" w:line="360" w:lineRule="auto"/>
        <w:jc w:val="both"/>
        <w:rPr>
          <w:rFonts w:eastAsia="Calibri"/>
          <w:lang w:val="es-DO"/>
        </w:rPr>
      </w:pPr>
      <w:r w:rsidRPr="00232EBB">
        <w:rPr>
          <w:rFonts w:eastAsia="Calibri"/>
          <w:lang w:val="es-DO"/>
        </w:rPr>
        <w:t>Impulsar una gestión integral de riesgos que fomente la autoevaluación y la adopción de buenas prácticas, con el fin de mejorar la capacidad de respuesta ante adversidades y promoviendo una gobernanza sólida que respalde la efectividad de los controles.</w:t>
      </w:r>
    </w:p>
    <w:p w14:paraId="5A645013" w14:textId="77777777" w:rsidR="00CF1211" w:rsidRPr="00232EBB" w:rsidRDefault="00CF1211" w:rsidP="00CF1211">
      <w:pPr>
        <w:spacing w:before="240" w:after="240" w:line="360" w:lineRule="auto"/>
        <w:jc w:val="both"/>
        <w:rPr>
          <w:rFonts w:eastAsia="Calibri"/>
          <w:b/>
          <w:bCs/>
          <w:lang w:val="es-DO"/>
        </w:rPr>
      </w:pPr>
      <w:r w:rsidRPr="00232EBB">
        <w:rPr>
          <w:rFonts w:eastAsia="Calibri"/>
          <w:b/>
          <w:bCs/>
          <w:lang w:val="es-DO"/>
        </w:rPr>
        <w:t>Objetivos Estratégicos:</w:t>
      </w:r>
    </w:p>
    <w:p w14:paraId="381AA116" w14:textId="38AD1684" w:rsidR="00486049" w:rsidRPr="00232EBB" w:rsidRDefault="00CF1211" w:rsidP="003D62C6">
      <w:pPr>
        <w:pStyle w:val="ListParagraph"/>
        <w:numPr>
          <w:ilvl w:val="0"/>
          <w:numId w:val="53"/>
        </w:numPr>
        <w:spacing w:before="240" w:after="24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t>Fortalecer la efectividad del sistema integral de gestión de riesgos en las 3 líneas de defensa.</w:t>
      </w:r>
    </w:p>
    <w:p w14:paraId="591B0516" w14:textId="77777777" w:rsidR="00CF1211" w:rsidRPr="00232EBB" w:rsidRDefault="00CF1211" w:rsidP="00CF1211">
      <w:pPr>
        <w:spacing w:before="240" w:after="240" w:line="360" w:lineRule="auto"/>
        <w:jc w:val="both"/>
        <w:rPr>
          <w:rFonts w:eastAsia="Calibri"/>
          <w:b/>
          <w:bCs/>
          <w:lang w:val="es-DO"/>
        </w:rPr>
      </w:pPr>
      <w:r w:rsidRPr="00232EBB">
        <w:rPr>
          <w:rFonts w:eastAsia="Calibri"/>
          <w:b/>
          <w:bCs/>
          <w:lang w:val="es-DO"/>
        </w:rPr>
        <w:t xml:space="preserve">Quinto Eje: Crecimiento y Desarrollo del Talento Humano </w:t>
      </w:r>
    </w:p>
    <w:p w14:paraId="74BC8AE2" w14:textId="0028F272" w:rsidR="00CF1211" w:rsidRPr="00232EBB" w:rsidRDefault="00CF1211" w:rsidP="00CF1211">
      <w:pPr>
        <w:spacing w:before="240" w:after="240" w:line="360" w:lineRule="auto"/>
        <w:jc w:val="both"/>
        <w:rPr>
          <w:rFonts w:eastAsia="Calibri"/>
          <w:lang w:val="es-DO"/>
        </w:rPr>
      </w:pPr>
      <w:r w:rsidRPr="00232EBB">
        <w:rPr>
          <w:rFonts w:eastAsia="Calibri"/>
          <w:lang w:val="es-DO"/>
        </w:rPr>
        <w:t>Cultivar un capital humano motivado y comprometido con los objetivos institucionales, mediante el reconocimiento, innovación, uso de tecnología y entorno laboral que integre soluciones efectivas para potenciar el desempeño y bienestar emocional de los colaboradores.</w:t>
      </w:r>
    </w:p>
    <w:p w14:paraId="3C842E08" w14:textId="1014458A" w:rsidR="00CF1211" w:rsidRPr="00232EBB" w:rsidRDefault="00CF1211" w:rsidP="00CF1211">
      <w:pPr>
        <w:spacing w:before="240" w:after="240" w:line="360" w:lineRule="auto"/>
        <w:jc w:val="both"/>
        <w:rPr>
          <w:rFonts w:eastAsia="Calibri"/>
          <w:b/>
          <w:bCs/>
          <w:lang w:val="es-DO"/>
        </w:rPr>
      </w:pPr>
      <w:r w:rsidRPr="00232EBB">
        <w:rPr>
          <w:rFonts w:eastAsia="Calibri"/>
          <w:b/>
          <w:bCs/>
          <w:lang w:val="es-DO"/>
        </w:rPr>
        <w:t>Objetivos Estratégicos:</w:t>
      </w:r>
    </w:p>
    <w:p w14:paraId="684F2F91" w14:textId="0591F817" w:rsidR="00486049" w:rsidRPr="00232EBB" w:rsidRDefault="00CF1211" w:rsidP="000E2299">
      <w:pPr>
        <w:pStyle w:val="Heading1"/>
        <w:numPr>
          <w:ilvl w:val="0"/>
          <w:numId w:val="13"/>
        </w:numPr>
        <w:spacing w:after="240" w:line="259" w:lineRule="auto"/>
        <w:jc w:val="left"/>
        <w:rPr>
          <w:rFonts w:eastAsia="Calibri" w:cs="Times New Roman"/>
          <w:b w:val="0"/>
          <w:color w:val="767171"/>
          <w:sz w:val="24"/>
          <w:szCs w:val="24"/>
          <w:lang w:val="es-DO"/>
        </w:rPr>
      </w:pPr>
      <w:bookmarkStart w:id="24" w:name="_Toc216952211"/>
      <w:r w:rsidRPr="00232EBB">
        <w:rPr>
          <w:rFonts w:eastAsia="Calibri" w:cs="Times New Roman"/>
          <w:b w:val="0"/>
          <w:color w:val="767171"/>
          <w:sz w:val="24"/>
          <w:szCs w:val="24"/>
          <w:lang w:val="es-DO"/>
        </w:rPr>
        <w:t>Fortalecer la experiencia del colaborador y lograr altos resultados de clima y bienestar laboral.</w:t>
      </w:r>
      <w:bookmarkEnd w:id="24"/>
    </w:p>
    <w:p w14:paraId="71C8D25C" w14:textId="2985E5F4" w:rsidR="00CF1211" w:rsidRPr="00232EBB" w:rsidRDefault="00CF1211" w:rsidP="000E2299">
      <w:pPr>
        <w:pStyle w:val="ListParagraph"/>
        <w:numPr>
          <w:ilvl w:val="0"/>
          <w:numId w:val="13"/>
        </w:numPr>
        <w:rPr>
          <w:rFonts w:ascii="Times New Roman" w:hAnsi="Times New Roman"/>
          <w:color w:val="767171"/>
          <w:spacing w:val="20"/>
          <w:sz w:val="24"/>
          <w:szCs w:val="24"/>
        </w:rPr>
      </w:pPr>
      <w:r w:rsidRPr="00232EBB">
        <w:rPr>
          <w:rFonts w:ascii="Times New Roman" w:hAnsi="Times New Roman"/>
          <w:color w:val="767171"/>
          <w:spacing w:val="20"/>
          <w:sz w:val="24"/>
          <w:szCs w:val="24"/>
        </w:rPr>
        <w:t>Fortalecer el crecimiento del desarrollo y del talento humano.</w:t>
      </w:r>
    </w:p>
    <w:p w14:paraId="1BA787D8" w14:textId="77777777" w:rsidR="00CF1211" w:rsidRPr="00232EBB" w:rsidRDefault="00CF1211" w:rsidP="00CF1211">
      <w:pPr>
        <w:rPr>
          <w:lang w:val="es-DO"/>
        </w:rPr>
      </w:pPr>
    </w:p>
    <w:p w14:paraId="3F55B64E" w14:textId="77777777" w:rsidR="00486049" w:rsidRPr="00232EBB" w:rsidRDefault="00486049" w:rsidP="004544B4">
      <w:pPr>
        <w:pStyle w:val="Heading1"/>
        <w:spacing w:after="240" w:line="259" w:lineRule="auto"/>
        <w:ind w:left="720" w:hanging="360"/>
        <w:rPr>
          <w:rFonts w:cs="Times New Roman"/>
          <w:spacing w:val="0"/>
          <w:lang w:val="es-DO"/>
        </w:rPr>
      </w:pPr>
    </w:p>
    <w:p w14:paraId="4A949A16" w14:textId="77777777" w:rsidR="00CF1211" w:rsidRPr="00232EBB" w:rsidRDefault="00CF1211" w:rsidP="00CF1211">
      <w:pPr>
        <w:rPr>
          <w:lang w:val="es-DO"/>
        </w:rPr>
      </w:pPr>
    </w:p>
    <w:p w14:paraId="0031D4B1" w14:textId="77777777" w:rsidR="00CF1211" w:rsidRPr="00232EBB" w:rsidRDefault="00CF1211" w:rsidP="00CF1211">
      <w:pPr>
        <w:rPr>
          <w:lang w:val="es-DO"/>
        </w:rPr>
      </w:pPr>
    </w:p>
    <w:p w14:paraId="68A34008" w14:textId="77777777" w:rsidR="00CF1211" w:rsidRPr="00232EBB" w:rsidRDefault="00CF1211" w:rsidP="00CF1211">
      <w:pPr>
        <w:rPr>
          <w:lang w:val="es-DO"/>
        </w:rPr>
      </w:pPr>
    </w:p>
    <w:p w14:paraId="770A6BFB" w14:textId="77777777" w:rsidR="00CF1211" w:rsidRPr="00232EBB" w:rsidRDefault="00CF1211" w:rsidP="00CF1211">
      <w:pPr>
        <w:rPr>
          <w:lang w:val="es-DO"/>
        </w:rPr>
      </w:pPr>
    </w:p>
    <w:p w14:paraId="6E893034" w14:textId="77777777" w:rsidR="007A6ACD" w:rsidRPr="00232EBB" w:rsidRDefault="007A6ACD" w:rsidP="00CF1211">
      <w:pPr>
        <w:rPr>
          <w:lang w:val="es-DO"/>
        </w:rPr>
      </w:pPr>
    </w:p>
    <w:bookmarkStart w:id="25" w:name="_Toc216952212"/>
    <w:p w14:paraId="5E396B73" w14:textId="0D70E6DF" w:rsidR="00654164" w:rsidRPr="00232EBB" w:rsidRDefault="004B301B" w:rsidP="004544B4">
      <w:pPr>
        <w:pStyle w:val="Heading1"/>
        <w:spacing w:after="240" w:line="259" w:lineRule="auto"/>
        <w:ind w:left="720" w:hanging="360"/>
        <w:rPr>
          <w:rFonts w:cs="Times New Roman"/>
          <w:spacing w:val="0"/>
          <w:lang w:val="es-DO"/>
        </w:rPr>
      </w:pPr>
      <w:r w:rsidRPr="00232EBB">
        <w:rPr>
          <w:rFonts w:eastAsia="Calibri" w:cs="Times New Roman"/>
          <w:noProof/>
          <w:color w:val="4C4747"/>
          <w:sz w:val="18"/>
        </w:rPr>
        <w:lastRenderedPageBreak/>
        <mc:AlternateContent>
          <mc:Choice Requires="wps">
            <w:drawing>
              <wp:anchor distT="0" distB="0" distL="114300" distR="114300" simplePos="0" relativeHeight="251658247" behindDoc="0" locked="0" layoutInCell="1" allowOverlap="1" wp14:anchorId="4DF5F78D" wp14:editId="0E6D652D">
                <wp:simplePos x="0" y="0"/>
                <wp:positionH relativeFrom="margin">
                  <wp:posOffset>2409825</wp:posOffset>
                </wp:positionH>
                <wp:positionV relativeFrom="paragraph">
                  <wp:posOffset>316865</wp:posOffset>
                </wp:positionV>
                <wp:extent cx="463550" cy="0"/>
                <wp:effectExtent l="0" t="19050" r="31750" b="19050"/>
                <wp:wrapNone/>
                <wp:docPr id="14"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3550" cy="0"/>
                        </a:xfrm>
                        <a:prstGeom prst="line">
                          <a:avLst/>
                        </a:prstGeom>
                        <a:noFill/>
                        <a:ln w="28575" algn="ctr">
                          <a:solidFill>
                            <a:srgbClr val="EE2A24"/>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2D7058" id="Straight Connector 14" o:spid="_x0000_s1026" style="position:absolute;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89.75pt,24.95pt" to="226.25pt,2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" strokecolor="#ee2a24" strokeweight="2.25pt">
                <v:stroke joinstyle="miter"/>
                <w10:wrap anchorx="margin"/>
              </v:line>
            </w:pict>
          </mc:Fallback>
        </mc:AlternateContent>
      </w:r>
      <w:r w:rsidR="004544B4" w:rsidRPr="00232EBB">
        <w:rPr>
          <w:rFonts w:cs="Times New Roman"/>
          <w:spacing w:val="0"/>
          <w:lang w:val="es-DO"/>
        </w:rPr>
        <w:t xml:space="preserve">III. </w:t>
      </w:r>
      <w:r w:rsidR="00654164" w:rsidRPr="00232EBB">
        <w:rPr>
          <w:rFonts w:cs="Times New Roman"/>
          <w:spacing w:val="0"/>
          <w:lang w:val="es-DO"/>
        </w:rPr>
        <w:t>RESULTADOS MISIONALES</w:t>
      </w:r>
      <w:bookmarkEnd w:id="25"/>
    </w:p>
    <w:p w14:paraId="38838488" w14:textId="5502105E" w:rsidR="00654164" w:rsidRPr="00232EBB" w:rsidRDefault="006C48BC" w:rsidP="006C48BC">
      <w:pPr>
        <w:rPr>
          <w:lang w:val="es-ES"/>
        </w:rPr>
      </w:pPr>
      <w:r w:rsidRPr="00232EBB">
        <w:rPr>
          <w:lang w:val="es-ES"/>
        </w:rPr>
        <w:t xml:space="preserve">                                  </w:t>
      </w:r>
      <w:r w:rsidR="004B301B" w:rsidRPr="00232EBB">
        <w:rPr>
          <w:lang w:val="es-ES"/>
        </w:rPr>
        <w:t xml:space="preserve"> </w:t>
      </w:r>
      <w:r w:rsidR="00654164" w:rsidRPr="00232EBB">
        <w:rPr>
          <w:lang w:val="es-ES"/>
        </w:rPr>
        <w:t xml:space="preserve">Memoria </w:t>
      </w:r>
      <w:r w:rsidR="00D837AC" w:rsidRPr="00232EBB">
        <w:rPr>
          <w:lang w:val="es-ES"/>
        </w:rPr>
        <w:t>I</w:t>
      </w:r>
      <w:r w:rsidR="00654164" w:rsidRPr="00232EBB">
        <w:rPr>
          <w:lang w:val="es-ES"/>
        </w:rPr>
        <w:t xml:space="preserve">nstitucional </w:t>
      </w:r>
      <w:r w:rsidR="000025D4" w:rsidRPr="00232EBB">
        <w:rPr>
          <w:lang w:val="es-ES"/>
        </w:rPr>
        <w:t>202</w:t>
      </w:r>
      <w:r w:rsidR="00CF1211" w:rsidRPr="00232EBB">
        <w:rPr>
          <w:lang w:val="es-ES"/>
        </w:rPr>
        <w:t>5</w:t>
      </w:r>
    </w:p>
    <w:p w14:paraId="18898F5F" w14:textId="4D004BA5" w:rsidR="003A6D2F" w:rsidRPr="00232EBB" w:rsidRDefault="00384973" w:rsidP="00802E42">
      <w:pPr>
        <w:pStyle w:val="Heading1"/>
        <w:spacing w:after="240" w:line="259" w:lineRule="auto"/>
        <w:jc w:val="both"/>
        <w:rPr>
          <w:rFonts w:cs="Times New Roman"/>
          <w:spacing w:val="0"/>
          <w:lang w:val="es-DO"/>
        </w:rPr>
      </w:pPr>
      <w:bookmarkStart w:id="26" w:name="_Toc216952213"/>
      <w:r w:rsidRPr="00232EBB">
        <w:rPr>
          <w:rFonts w:cs="Times New Roman"/>
          <w:spacing w:val="0"/>
          <w:lang w:val="es-DO"/>
        </w:rPr>
        <w:t xml:space="preserve">3.1 </w:t>
      </w:r>
      <w:r w:rsidR="003A6D2F" w:rsidRPr="00232EBB">
        <w:rPr>
          <w:rFonts w:cs="Times New Roman"/>
          <w:spacing w:val="0"/>
          <w:lang w:val="es-DO"/>
        </w:rPr>
        <w:t>Información Cuantitativa, Cualitativa e Indicadores de los Procesos Misionales</w:t>
      </w:r>
      <w:bookmarkEnd w:id="26"/>
    </w:p>
    <w:p w14:paraId="26BFCBED" w14:textId="77777777" w:rsidR="00FA27DA" w:rsidRPr="00232EBB" w:rsidRDefault="00FA27DA" w:rsidP="00FA27DA">
      <w:pPr>
        <w:spacing w:line="360" w:lineRule="auto"/>
        <w:jc w:val="both"/>
        <w:rPr>
          <w:rFonts w:eastAsia="Calibri"/>
          <w:noProof/>
          <w:lang w:val="es-DO"/>
        </w:rPr>
      </w:pPr>
      <w:r w:rsidRPr="00232EBB">
        <w:rPr>
          <w:rFonts w:eastAsia="Calibri"/>
          <w:noProof/>
          <w:lang w:val="es-DO"/>
        </w:rPr>
        <w:t>La Tesorería de la Seguridad Social es responsable de la recaudación, distribución y pago de los recursos financieros del Sistema Dominicano de la Seguridad Social (SDSS) y del Control Presupuestario de los fondos que recibe la Tesoreria de la  Seguridad Social para el manejo de sus operaciones.</w:t>
      </w:r>
    </w:p>
    <w:p w14:paraId="26FF027D" w14:textId="77777777" w:rsidR="00FA27DA" w:rsidRPr="00232EBB" w:rsidRDefault="00FA27DA" w:rsidP="00FA27DA">
      <w:pPr>
        <w:spacing w:before="240" w:after="240" w:line="360" w:lineRule="auto"/>
        <w:jc w:val="both"/>
        <w:rPr>
          <w:rFonts w:eastAsia="Calibri"/>
          <w:noProof/>
          <w:lang w:val="es-DO"/>
        </w:rPr>
      </w:pPr>
      <w:r w:rsidRPr="00232EBB">
        <w:rPr>
          <w:rFonts w:eastAsia="Aptos"/>
          <w:lang w:val="es-DO"/>
        </w:rPr>
        <w:t>La recaudación es el proceso ordinario mediante el cual la TSS, a través de la Red Financiera Nacional, recibe los aportes y contribuciones de los trabajadores y empleadores al Sistema Dominicano de Seguridad Social.</w:t>
      </w:r>
    </w:p>
    <w:p w14:paraId="200F4283" w14:textId="77777777" w:rsidR="00FA27DA" w:rsidRPr="00232EBB" w:rsidRDefault="00FA27DA" w:rsidP="00FA27DA">
      <w:pPr>
        <w:spacing w:before="240" w:after="240" w:line="360" w:lineRule="auto"/>
        <w:jc w:val="both"/>
        <w:rPr>
          <w:rFonts w:eastAsia="Calibri"/>
          <w:noProof/>
          <w:lang w:val="es-DO"/>
        </w:rPr>
      </w:pPr>
      <w:r w:rsidRPr="00232EBB">
        <w:rPr>
          <w:rFonts w:eastAsia="Calibri"/>
          <w:noProof/>
          <w:lang w:val="es-ES"/>
        </w:rPr>
        <w:t xml:space="preserve">Red Financiera Nacional </w:t>
      </w:r>
      <w:r w:rsidRPr="00232EBB">
        <w:rPr>
          <w:rFonts w:eastAsia="Aptos"/>
          <w:lang w:val="es-DO"/>
        </w:rPr>
        <w:t>es el conjunto de entidades de intermediación financieras autorizadas por la Junta Monetaria, así como otras autorizadas y certificadas por la TSS para participar en el proceso de recaudación del sistema. La TSS y la EPBD certificarán el cumplimiento de los requisitos tecnológicos requeridos de estas entidades, previo a su incorporación a la referida red.</w:t>
      </w:r>
    </w:p>
    <w:p w14:paraId="047771E9" w14:textId="77777777" w:rsidR="00FA27DA" w:rsidRPr="00232EBB" w:rsidRDefault="00FA27DA" w:rsidP="00FA27DA">
      <w:pPr>
        <w:spacing w:line="360" w:lineRule="auto"/>
        <w:jc w:val="both"/>
        <w:rPr>
          <w:rFonts w:eastAsia="Calibri"/>
          <w:noProof/>
          <w:lang w:val="es-ES"/>
        </w:rPr>
      </w:pPr>
      <w:r w:rsidRPr="00232EBB">
        <w:rPr>
          <w:rFonts w:eastAsia="Calibri"/>
          <w:noProof/>
          <w:lang w:val="es-ES"/>
        </w:rPr>
        <w:t>Liquidación es el proceso mediante el cual la TSS transfiere los valores recaudados, mediante el Sistema de Pago y Liquidación de Valores de la República Dominicana (SIPARD), a las entidades de intermediación financiera, con la finalidad de que esos recursos sean acreditados en las diferentes cuentas de las entidades del Sistema Dominicano de Seguridad Social que correspondan.</w:t>
      </w:r>
    </w:p>
    <w:p w14:paraId="390CD7DB" w14:textId="2AF88C89" w:rsidR="00701C3A" w:rsidRPr="00232EBB" w:rsidRDefault="00FA27DA" w:rsidP="00A36F11">
      <w:pPr>
        <w:spacing w:line="360" w:lineRule="auto"/>
        <w:jc w:val="both"/>
        <w:rPr>
          <w:rFonts w:eastAsia="Times New Roman"/>
          <w:b/>
          <w:bCs/>
          <w:color w:val="FFFFFF"/>
          <w:spacing w:val="0"/>
          <w:sz w:val="20"/>
          <w:szCs w:val="20"/>
          <w:lang w:val="es-DO"/>
        </w:rPr>
      </w:pPr>
      <w:r w:rsidRPr="00232EBB">
        <w:rPr>
          <w:rFonts w:eastAsia="Calibri"/>
          <w:noProof/>
          <w:lang w:val="es-ES"/>
        </w:rPr>
        <w:t>A continuación, las recaudaciones, pagos, inversiones y devoluciones de aportes del Régimen Contributivo:</w:t>
      </w:r>
    </w:p>
    <w:tbl>
      <w:tblPr>
        <w:tblW w:w="9278" w:type="dxa"/>
        <w:jc w:val="center"/>
        <w:tblLayout w:type="fixed"/>
        <w:tblLook w:val="04A0" w:firstRow="1" w:lastRow="0" w:firstColumn="1" w:lastColumn="0" w:noHBand="0" w:noVBand="1"/>
      </w:tblPr>
      <w:tblGrid>
        <w:gridCol w:w="1861"/>
        <w:gridCol w:w="2174"/>
        <w:gridCol w:w="2207"/>
        <w:gridCol w:w="2100"/>
        <w:gridCol w:w="936"/>
      </w:tblGrid>
      <w:tr w:rsidR="00424F32" w:rsidRPr="00232EBB" w14:paraId="57374C9C" w14:textId="77777777" w:rsidTr="00424F32">
        <w:trPr>
          <w:trHeight w:val="610"/>
          <w:tblHeader/>
          <w:jc w:val="center"/>
        </w:trPr>
        <w:tc>
          <w:tcPr>
            <w:tcW w:w="1861" w:type="dxa"/>
            <w:tcBorders>
              <w:top w:val="single" w:sz="8" w:space="0" w:color="auto"/>
              <w:left w:val="single" w:sz="8" w:space="0" w:color="auto"/>
              <w:bottom w:val="nil"/>
              <w:right w:val="single" w:sz="8" w:space="0" w:color="auto"/>
            </w:tcBorders>
            <w:shd w:val="clear" w:color="000000" w:fill="1F3864"/>
            <w:vAlign w:val="center"/>
            <w:hideMark/>
          </w:tcPr>
          <w:p w14:paraId="411AC44B" w14:textId="1F779D75" w:rsidR="00424F32" w:rsidRPr="00232EBB" w:rsidRDefault="00424F32" w:rsidP="00424F32">
            <w:pPr>
              <w:spacing w:after="0" w:line="240" w:lineRule="auto"/>
              <w:jc w:val="center"/>
              <w:rPr>
                <w:rFonts w:eastAsia="Times New Roman"/>
                <w:b/>
                <w:bCs/>
                <w:color w:val="FFFFFF"/>
                <w:spacing w:val="0"/>
                <w:sz w:val="20"/>
                <w:szCs w:val="20"/>
              </w:rPr>
            </w:pPr>
            <w:r w:rsidRPr="009D16CD">
              <w:rPr>
                <w:rFonts w:eastAsia="Times New Roman"/>
                <w:b/>
                <w:bCs/>
                <w:color w:val="FFFFFF"/>
                <w:spacing w:val="0"/>
                <w:lang w:val="es-DO"/>
              </w:rPr>
              <w:lastRenderedPageBreak/>
              <w:t>Recaudaciones</w:t>
            </w:r>
          </w:p>
        </w:tc>
        <w:tc>
          <w:tcPr>
            <w:tcW w:w="2174" w:type="dxa"/>
            <w:tcBorders>
              <w:top w:val="single" w:sz="8" w:space="0" w:color="auto"/>
              <w:left w:val="nil"/>
              <w:bottom w:val="nil"/>
              <w:right w:val="single" w:sz="8" w:space="0" w:color="auto"/>
            </w:tcBorders>
            <w:shd w:val="clear" w:color="000000" w:fill="1F3864"/>
            <w:vAlign w:val="center"/>
            <w:hideMark/>
          </w:tcPr>
          <w:p w14:paraId="3AE941B8" w14:textId="1886C593" w:rsidR="00424F32" w:rsidRPr="00232EBB" w:rsidRDefault="00424F32" w:rsidP="00424F32">
            <w:pPr>
              <w:spacing w:after="0" w:line="240" w:lineRule="auto"/>
              <w:jc w:val="center"/>
              <w:rPr>
                <w:rFonts w:eastAsia="Times New Roman"/>
                <w:b/>
                <w:bCs/>
                <w:color w:val="FFFFFF"/>
                <w:spacing w:val="0"/>
                <w:sz w:val="20"/>
                <w:szCs w:val="20"/>
              </w:rPr>
            </w:pPr>
            <w:r w:rsidRPr="009D16CD">
              <w:rPr>
                <w:rFonts w:eastAsia="Times New Roman"/>
                <w:b/>
                <w:bCs/>
                <w:color w:val="FFFFFF"/>
                <w:spacing w:val="0"/>
                <w:lang w:val="es-DO"/>
              </w:rPr>
              <w:t>202</w:t>
            </w:r>
            <w:r>
              <w:rPr>
                <w:rFonts w:eastAsia="Times New Roman"/>
                <w:b/>
                <w:bCs/>
                <w:color w:val="FFFFFF"/>
                <w:spacing w:val="0"/>
                <w:lang w:val="es-DO"/>
              </w:rPr>
              <w:t>5</w:t>
            </w:r>
          </w:p>
        </w:tc>
        <w:tc>
          <w:tcPr>
            <w:tcW w:w="2207" w:type="dxa"/>
            <w:tcBorders>
              <w:top w:val="single" w:sz="8" w:space="0" w:color="auto"/>
              <w:left w:val="nil"/>
              <w:bottom w:val="nil"/>
              <w:right w:val="single" w:sz="8" w:space="0" w:color="auto"/>
            </w:tcBorders>
            <w:shd w:val="clear" w:color="000000" w:fill="1F3864"/>
            <w:vAlign w:val="center"/>
            <w:hideMark/>
          </w:tcPr>
          <w:p w14:paraId="218B0CD5" w14:textId="5C11183E" w:rsidR="00424F32" w:rsidRPr="00232EBB" w:rsidRDefault="00424F32" w:rsidP="00424F32">
            <w:pPr>
              <w:spacing w:after="0" w:line="240" w:lineRule="auto"/>
              <w:jc w:val="center"/>
              <w:rPr>
                <w:rFonts w:eastAsia="Times New Roman"/>
                <w:b/>
                <w:bCs/>
                <w:color w:val="FFFFFF"/>
                <w:spacing w:val="0"/>
                <w:sz w:val="20"/>
                <w:szCs w:val="20"/>
              </w:rPr>
            </w:pPr>
            <w:r w:rsidRPr="009D16CD">
              <w:rPr>
                <w:rFonts w:eastAsia="Times New Roman"/>
                <w:b/>
                <w:bCs/>
                <w:color w:val="FFFFFF"/>
                <w:spacing w:val="0"/>
                <w:lang w:val="es-DO"/>
              </w:rPr>
              <w:t>202</w:t>
            </w:r>
            <w:r>
              <w:rPr>
                <w:rFonts w:eastAsia="Times New Roman"/>
                <w:b/>
                <w:bCs/>
                <w:color w:val="FFFFFF"/>
                <w:spacing w:val="0"/>
                <w:lang w:val="es-DO"/>
              </w:rPr>
              <w:t>4</w:t>
            </w:r>
          </w:p>
        </w:tc>
        <w:tc>
          <w:tcPr>
            <w:tcW w:w="2100" w:type="dxa"/>
            <w:tcBorders>
              <w:top w:val="single" w:sz="8" w:space="0" w:color="auto"/>
              <w:left w:val="nil"/>
              <w:bottom w:val="nil"/>
              <w:right w:val="single" w:sz="8" w:space="0" w:color="auto"/>
            </w:tcBorders>
            <w:shd w:val="clear" w:color="000000" w:fill="1F3864"/>
            <w:vAlign w:val="center"/>
            <w:hideMark/>
          </w:tcPr>
          <w:p w14:paraId="6E780AD0" w14:textId="0EDAA858" w:rsidR="00424F32" w:rsidRPr="00232EBB" w:rsidRDefault="00424F32" w:rsidP="00424F32">
            <w:pPr>
              <w:spacing w:after="0" w:line="240" w:lineRule="auto"/>
              <w:jc w:val="center"/>
              <w:rPr>
                <w:rFonts w:eastAsia="Times New Roman"/>
                <w:b/>
                <w:bCs/>
                <w:color w:val="FFFFFF"/>
                <w:spacing w:val="0"/>
                <w:sz w:val="20"/>
                <w:szCs w:val="20"/>
              </w:rPr>
            </w:pPr>
            <w:r w:rsidRPr="009D16CD">
              <w:rPr>
                <w:rFonts w:eastAsia="Times New Roman"/>
                <w:b/>
                <w:bCs/>
                <w:color w:val="FFFFFF"/>
                <w:spacing w:val="0"/>
                <w:lang w:val="es-DO"/>
              </w:rPr>
              <w:t>Variación</w:t>
            </w:r>
          </w:p>
        </w:tc>
        <w:tc>
          <w:tcPr>
            <w:tcW w:w="936" w:type="dxa"/>
            <w:tcBorders>
              <w:top w:val="single" w:sz="8" w:space="0" w:color="auto"/>
              <w:left w:val="nil"/>
              <w:bottom w:val="nil"/>
              <w:right w:val="single" w:sz="8" w:space="0" w:color="auto"/>
            </w:tcBorders>
            <w:shd w:val="clear" w:color="000000" w:fill="1F3864"/>
            <w:vAlign w:val="center"/>
            <w:hideMark/>
          </w:tcPr>
          <w:p w14:paraId="0E43B9B0" w14:textId="3BD61B9C" w:rsidR="00424F32" w:rsidRPr="00232EBB" w:rsidRDefault="00424F32" w:rsidP="00424F32">
            <w:pPr>
              <w:spacing w:after="0" w:line="240" w:lineRule="auto"/>
              <w:jc w:val="center"/>
              <w:rPr>
                <w:rFonts w:eastAsia="Times New Roman"/>
                <w:b/>
                <w:bCs/>
                <w:color w:val="FFFFFF"/>
                <w:spacing w:val="0"/>
                <w:sz w:val="20"/>
                <w:szCs w:val="20"/>
              </w:rPr>
            </w:pPr>
            <w:r w:rsidRPr="009D16CD">
              <w:rPr>
                <w:rFonts w:eastAsia="Times New Roman"/>
                <w:b/>
                <w:bCs/>
                <w:color w:val="FFFFFF"/>
                <w:spacing w:val="0"/>
                <w:lang w:val="es-DO"/>
              </w:rPr>
              <w:t>%</w:t>
            </w:r>
          </w:p>
        </w:tc>
      </w:tr>
      <w:tr w:rsidR="00424F32" w:rsidRPr="00232EBB" w14:paraId="21F79374" w14:textId="77777777" w:rsidTr="00424F32">
        <w:trPr>
          <w:trHeight w:val="543"/>
          <w:jc w:val="center"/>
        </w:trPr>
        <w:tc>
          <w:tcPr>
            <w:tcW w:w="1861" w:type="dxa"/>
            <w:tcBorders>
              <w:top w:val="single" w:sz="8" w:space="0" w:color="auto"/>
              <w:left w:val="single" w:sz="8" w:space="0" w:color="auto"/>
              <w:bottom w:val="single" w:sz="8" w:space="0" w:color="auto"/>
              <w:right w:val="single" w:sz="8" w:space="0" w:color="auto"/>
            </w:tcBorders>
            <w:vAlign w:val="center"/>
            <w:hideMark/>
          </w:tcPr>
          <w:p w14:paraId="7F82D4EF" w14:textId="0B992520" w:rsidR="00424F32" w:rsidRPr="00232EBB" w:rsidRDefault="00424F32" w:rsidP="00424F32">
            <w:pPr>
              <w:spacing w:after="0" w:line="240" w:lineRule="auto"/>
              <w:jc w:val="center"/>
              <w:rPr>
                <w:rFonts w:eastAsia="Times New Roman"/>
                <w:spacing w:val="0"/>
                <w:sz w:val="20"/>
                <w:szCs w:val="20"/>
              </w:rPr>
            </w:pPr>
            <w:r w:rsidRPr="006A3FDE">
              <w:rPr>
                <w:rFonts w:eastAsia="Calibri"/>
                <w:noProof/>
                <w:spacing w:val="0"/>
                <w:lang w:val="es-DO"/>
              </w:rPr>
              <w:t>Enero</w:t>
            </w:r>
            <w:r>
              <w:rPr>
                <w:rFonts w:eastAsia="Calibri"/>
                <w:noProof/>
                <w:spacing w:val="0"/>
                <w:lang w:val="es-DO"/>
              </w:rPr>
              <w:t>-Diciembre</w:t>
            </w:r>
          </w:p>
        </w:tc>
        <w:tc>
          <w:tcPr>
            <w:tcW w:w="2174" w:type="dxa"/>
            <w:tcBorders>
              <w:top w:val="single" w:sz="8" w:space="0" w:color="auto"/>
              <w:left w:val="nil"/>
              <w:bottom w:val="single" w:sz="8" w:space="0" w:color="auto"/>
              <w:right w:val="single" w:sz="8" w:space="0" w:color="auto"/>
            </w:tcBorders>
            <w:vAlign w:val="center"/>
            <w:hideMark/>
          </w:tcPr>
          <w:p w14:paraId="592FD3FA" w14:textId="5059212B" w:rsidR="00424F32" w:rsidRPr="00424F32" w:rsidRDefault="00424F32" w:rsidP="00424F32">
            <w:pPr>
              <w:spacing w:after="0" w:line="240" w:lineRule="auto"/>
              <w:jc w:val="center"/>
              <w:rPr>
                <w:rFonts w:eastAsia="Times New Roman"/>
                <w:spacing w:val="0"/>
                <w:sz w:val="20"/>
                <w:szCs w:val="20"/>
              </w:rPr>
            </w:pPr>
            <w:r>
              <w:rPr>
                <w:rFonts w:eastAsia="Times New Roman"/>
                <w:spacing w:val="0"/>
              </w:rPr>
              <w:t>232,454,461,655.80</w:t>
            </w:r>
          </w:p>
        </w:tc>
        <w:tc>
          <w:tcPr>
            <w:tcW w:w="2207" w:type="dxa"/>
            <w:tcBorders>
              <w:top w:val="single" w:sz="8" w:space="0" w:color="auto"/>
              <w:left w:val="nil"/>
              <w:bottom w:val="single" w:sz="8" w:space="0" w:color="auto"/>
              <w:right w:val="single" w:sz="8" w:space="0" w:color="auto"/>
            </w:tcBorders>
            <w:vAlign w:val="center"/>
            <w:hideMark/>
          </w:tcPr>
          <w:p w14:paraId="1AE4011A" w14:textId="50DFA56F" w:rsidR="00424F32" w:rsidRPr="00232EBB" w:rsidRDefault="00424F32" w:rsidP="00424F32">
            <w:pPr>
              <w:spacing w:after="0" w:line="240" w:lineRule="auto"/>
              <w:jc w:val="center"/>
              <w:rPr>
                <w:rFonts w:eastAsia="Times New Roman"/>
                <w:spacing w:val="0"/>
                <w:sz w:val="20"/>
                <w:szCs w:val="20"/>
              </w:rPr>
            </w:pPr>
            <w:r>
              <w:rPr>
                <w:rFonts w:eastAsia="Times New Roman"/>
                <w:spacing w:val="0"/>
              </w:rPr>
              <w:t>211,618,577,731.84</w:t>
            </w:r>
          </w:p>
        </w:tc>
        <w:tc>
          <w:tcPr>
            <w:tcW w:w="2100" w:type="dxa"/>
            <w:tcBorders>
              <w:top w:val="single" w:sz="8" w:space="0" w:color="auto"/>
              <w:left w:val="nil"/>
              <w:bottom w:val="single" w:sz="8" w:space="0" w:color="auto"/>
              <w:right w:val="single" w:sz="8" w:space="0" w:color="auto"/>
            </w:tcBorders>
            <w:vAlign w:val="center"/>
            <w:hideMark/>
          </w:tcPr>
          <w:p w14:paraId="380B0FC6" w14:textId="0EF65AC6" w:rsidR="00424F32" w:rsidRPr="00232EBB" w:rsidRDefault="00424F32" w:rsidP="00424F32">
            <w:pPr>
              <w:spacing w:after="0" w:line="240" w:lineRule="auto"/>
              <w:jc w:val="center"/>
              <w:rPr>
                <w:rFonts w:eastAsia="Times New Roman"/>
                <w:spacing w:val="0"/>
                <w:sz w:val="20"/>
                <w:szCs w:val="20"/>
              </w:rPr>
            </w:pPr>
            <w:r>
              <w:rPr>
                <w:rFonts w:eastAsia="Times New Roman"/>
                <w:spacing w:val="0"/>
              </w:rPr>
              <w:t>20,835,883,923.96</w:t>
            </w:r>
          </w:p>
        </w:tc>
        <w:tc>
          <w:tcPr>
            <w:tcW w:w="936" w:type="dxa"/>
            <w:tcBorders>
              <w:top w:val="single" w:sz="8" w:space="0" w:color="auto"/>
              <w:left w:val="nil"/>
              <w:bottom w:val="single" w:sz="8" w:space="0" w:color="auto"/>
              <w:right w:val="single" w:sz="8" w:space="0" w:color="auto"/>
            </w:tcBorders>
            <w:vAlign w:val="center"/>
            <w:hideMark/>
          </w:tcPr>
          <w:p w14:paraId="1B68E3CB" w14:textId="0BF1F801" w:rsidR="00424F32" w:rsidRPr="00232EBB" w:rsidRDefault="00424F32" w:rsidP="00424F32">
            <w:pPr>
              <w:spacing w:after="0" w:line="240" w:lineRule="auto"/>
              <w:jc w:val="center"/>
              <w:rPr>
                <w:rFonts w:eastAsia="Times New Roman"/>
                <w:spacing w:val="0"/>
                <w:sz w:val="20"/>
                <w:szCs w:val="20"/>
              </w:rPr>
            </w:pPr>
            <w:r>
              <w:rPr>
                <w:rFonts w:eastAsia="Calibri"/>
                <w:noProof/>
                <w:spacing w:val="0"/>
                <w:lang w:val="es-DO"/>
              </w:rPr>
              <w:t>9.85</w:t>
            </w:r>
            <w:r w:rsidRPr="006A3FDE">
              <w:rPr>
                <w:rFonts w:eastAsia="Calibri"/>
                <w:noProof/>
                <w:spacing w:val="0"/>
                <w:lang w:val="es-DO"/>
              </w:rPr>
              <w:t>%</w:t>
            </w:r>
          </w:p>
        </w:tc>
      </w:tr>
    </w:tbl>
    <w:p w14:paraId="23002465" w14:textId="4BE4F0D4" w:rsidR="00A443C2" w:rsidRPr="00232EBB" w:rsidRDefault="00A443C2" w:rsidP="00A443C2">
      <w:pPr>
        <w:spacing w:line="360" w:lineRule="auto"/>
        <w:jc w:val="both"/>
        <w:rPr>
          <w:rFonts w:eastAsia="Calibri"/>
          <w:noProof/>
          <w:sz w:val="18"/>
          <w:szCs w:val="18"/>
          <w:lang w:val="es-ES"/>
        </w:rPr>
      </w:pPr>
      <w:r w:rsidRPr="00232EBB">
        <w:rPr>
          <w:rFonts w:eastAsia="Calibri"/>
          <w:b/>
          <w:bCs/>
          <w:noProof/>
          <w:sz w:val="18"/>
          <w:szCs w:val="18"/>
          <w:lang w:val="es-ES"/>
        </w:rPr>
        <w:t xml:space="preserve">Tabla 1: </w:t>
      </w:r>
      <w:r w:rsidRPr="00232EBB">
        <w:rPr>
          <w:rFonts w:eastAsia="Calibri"/>
          <w:noProof/>
          <w:sz w:val="18"/>
          <w:szCs w:val="18"/>
          <w:lang w:val="es-ES"/>
        </w:rPr>
        <w:t>Recaudaciones del Régimen Contributivo enero-</w:t>
      </w:r>
      <w:r w:rsidR="007A6ACD" w:rsidRPr="00232EBB">
        <w:rPr>
          <w:rFonts w:eastAsia="Calibri"/>
          <w:noProof/>
          <w:sz w:val="18"/>
          <w:szCs w:val="18"/>
          <w:lang w:val="es-ES"/>
        </w:rPr>
        <w:t>dic</w:t>
      </w:r>
      <w:r w:rsidR="00544B53" w:rsidRPr="00232EBB">
        <w:rPr>
          <w:rFonts w:eastAsia="Calibri"/>
          <w:noProof/>
          <w:sz w:val="18"/>
          <w:szCs w:val="18"/>
          <w:lang w:val="es-ES"/>
        </w:rPr>
        <w:t>iem</w:t>
      </w:r>
      <w:r w:rsidRPr="00232EBB">
        <w:rPr>
          <w:rFonts w:eastAsia="Calibri"/>
          <w:noProof/>
          <w:sz w:val="18"/>
          <w:szCs w:val="18"/>
          <w:lang w:val="es-ES"/>
        </w:rPr>
        <w:t>bre 202</w:t>
      </w:r>
      <w:r w:rsidR="00FA27DA" w:rsidRPr="00232EBB">
        <w:rPr>
          <w:rFonts w:eastAsia="Calibri"/>
          <w:noProof/>
          <w:sz w:val="18"/>
          <w:szCs w:val="18"/>
          <w:lang w:val="es-ES"/>
        </w:rPr>
        <w:t>5</w:t>
      </w:r>
      <w:r w:rsidRPr="00232EBB">
        <w:rPr>
          <w:rFonts w:eastAsia="Calibri"/>
          <w:noProof/>
          <w:sz w:val="18"/>
          <w:szCs w:val="18"/>
          <w:lang w:val="es-ES"/>
        </w:rPr>
        <w:t>.</w:t>
      </w:r>
    </w:p>
    <w:p w14:paraId="530CF504" w14:textId="77777777" w:rsidR="00701C3A" w:rsidRPr="00232EBB" w:rsidRDefault="00701C3A" w:rsidP="00701C3A">
      <w:pPr>
        <w:spacing w:after="0" w:line="360" w:lineRule="auto"/>
        <w:jc w:val="both"/>
        <w:rPr>
          <w:rFonts w:eastAsia="Calibri"/>
          <w:noProof/>
          <w:sz w:val="18"/>
          <w:szCs w:val="18"/>
          <w:lang w:val="es-ES"/>
        </w:rPr>
      </w:pPr>
    </w:p>
    <w:tbl>
      <w:tblPr>
        <w:tblW w:w="9186" w:type="dxa"/>
        <w:jc w:val="center"/>
        <w:tblLayout w:type="fixed"/>
        <w:tblLook w:val="04A0" w:firstRow="1" w:lastRow="0" w:firstColumn="1" w:lastColumn="0" w:noHBand="0" w:noVBand="1"/>
      </w:tblPr>
      <w:tblGrid>
        <w:gridCol w:w="10"/>
        <w:gridCol w:w="1982"/>
        <w:gridCol w:w="2236"/>
        <w:gridCol w:w="2236"/>
        <w:gridCol w:w="2016"/>
        <w:gridCol w:w="706"/>
      </w:tblGrid>
      <w:tr w:rsidR="00424F32" w:rsidRPr="00232EBB" w14:paraId="728F00FF" w14:textId="77777777" w:rsidTr="00F410EE">
        <w:trPr>
          <w:trHeight w:val="448"/>
          <w:jc w:val="center"/>
        </w:trPr>
        <w:tc>
          <w:tcPr>
            <w:tcW w:w="1992" w:type="dxa"/>
            <w:gridSpan w:val="2"/>
            <w:tcBorders>
              <w:top w:val="single" w:sz="8" w:space="0" w:color="auto"/>
              <w:left w:val="single" w:sz="8" w:space="0" w:color="auto"/>
              <w:bottom w:val="nil"/>
              <w:right w:val="single" w:sz="8" w:space="0" w:color="auto"/>
            </w:tcBorders>
            <w:shd w:val="clear" w:color="000000" w:fill="1F3864"/>
            <w:vAlign w:val="center"/>
            <w:hideMark/>
          </w:tcPr>
          <w:p w14:paraId="21B81813" w14:textId="25B684EF" w:rsidR="00424F32" w:rsidRPr="00232EBB" w:rsidRDefault="00424F32" w:rsidP="00424F32">
            <w:pPr>
              <w:spacing w:after="0" w:line="240" w:lineRule="auto"/>
              <w:jc w:val="center"/>
              <w:rPr>
                <w:rFonts w:eastAsia="Times New Roman"/>
                <w:b/>
                <w:bCs/>
                <w:color w:val="FFFFFF"/>
                <w:spacing w:val="0"/>
                <w:sz w:val="20"/>
                <w:szCs w:val="20"/>
              </w:rPr>
            </w:pPr>
            <w:r w:rsidRPr="009D16CD">
              <w:rPr>
                <w:rFonts w:eastAsia="Times New Roman"/>
                <w:b/>
                <w:bCs/>
                <w:color w:val="FFFFFF"/>
                <w:spacing w:val="0"/>
                <w:lang w:val="es-DO"/>
              </w:rPr>
              <w:t>Pagos</w:t>
            </w:r>
          </w:p>
        </w:tc>
        <w:tc>
          <w:tcPr>
            <w:tcW w:w="2236" w:type="dxa"/>
            <w:tcBorders>
              <w:top w:val="single" w:sz="8" w:space="0" w:color="auto"/>
              <w:left w:val="nil"/>
              <w:bottom w:val="nil"/>
              <w:right w:val="single" w:sz="8" w:space="0" w:color="auto"/>
            </w:tcBorders>
            <w:shd w:val="clear" w:color="000000" w:fill="1F3864"/>
            <w:vAlign w:val="center"/>
            <w:hideMark/>
          </w:tcPr>
          <w:p w14:paraId="2E80529E" w14:textId="0908FD04" w:rsidR="00424F32" w:rsidRPr="00232EBB" w:rsidRDefault="00424F32" w:rsidP="00424F32">
            <w:pPr>
              <w:spacing w:after="0" w:line="240" w:lineRule="auto"/>
              <w:jc w:val="center"/>
              <w:rPr>
                <w:rFonts w:eastAsia="Times New Roman"/>
                <w:b/>
                <w:bCs/>
                <w:color w:val="FFFFFF"/>
                <w:spacing w:val="0"/>
                <w:sz w:val="20"/>
                <w:szCs w:val="20"/>
              </w:rPr>
            </w:pPr>
            <w:r w:rsidRPr="009D16CD">
              <w:rPr>
                <w:rFonts w:eastAsia="Times New Roman"/>
                <w:b/>
                <w:bCs/>
                <w:color w:val="FFFFFF"/>
                <w:spacing w:val="0"/>
                <w:lang w:val="es-DO"/>
              </w:rPr>
              <w:t>202</w:t>
            </w:r>
            <w:r>
              <w:rPr>
                <w:rFonts w:eastAsia="Times New Roman"/>
                <w:b/>
                <w:bCs/>
                <w:color w:val="FFFFFF"/>
                <w:spacing w:val="0"/>
                <w:lang w:val="es-DO"/>
              </w:rPr>
              <w:t>5</w:t>
            </w:r>
          </w:p>
        </w:tc>
        <w:tc>
          <w:tcPr>
            <w:tcW w:w="2236" w:type="dxa"/>
            <w:tcBorders>
              <w:top w:val="single" w:sz="8" w:space="0" w:color="auto"/>
              <w:left w:val="nil"/>
              <w:bottom w:val="nil"/>
              <w:right w:val="single" w:sz="8" w:space="0" w:color="auto"/>
            </w:tcBorders>
            <w:shd w:val="clear" w:color="000000" w:fill="1F3864"/>
            <w:vAlign w:val="center"/>
            <w:hideMark/>
          </w:tcPr>
          <w:p w14:paraId="0BEE3657" w14:textId="673B9096" w:rsidR="00424F32" w:rsidRPr="00232EBB" w:rsidRDefault="00424F32" w:rsidP="00424F32">
            <w:pPr>
              <w:spacing w:after="0" w:line="240" w:lineRule="auto"/>
              <w:jc w:val="center"/>
              <w:rPr>
                <w:rFonts w:eastAsia="Times New Roman"/>
                <w:b/>
                <w:bCs/>
                <w:color w:val="FFFFFF"/>
                <w:spacing w:val="0"/>
                <w:sz w:val="20"/>
                <w:szCs w:val="20"/>
              </w:rPr>
            </w:pPr>
            <w:r w:rsidRPr="009D16CD">
              <w:rPr>
                <w:rFonts w:eastAsia="Times New Roman"/>
                <w:b/>
                <w:bCs/>
                <w:color w:val="FFFFFF"/>
                <w:spacing w:val="0"/>
                <w:lang w:val="es-DO"/>
              </w:rPr>
              <w:t>202</w:t>
            </w:r>
            <w:r>
              <w:rPr>
                <w:rFonts w:eastAsia="Times New Roman"/>
                <w:b/>
                <w:bCs/>
                <w:color w:val="FFFFFF"/>
                <w:spacing w:val="0"/>
                <w:lang w:val="es-DO"/>
              </w:rPr>
              <w:t>4</w:t>
            </w:r>
          </w:p>
        </w:tc>
        <w:tc>
          <w:tcPr>
            <w:tcW w:w="2016" w:type="dxa"/>
            <w:tcBorders>
              <w:top w:val="single" w:sz="8" w:space="0" w:color="auto"/>
              <w:left w:val="nil"/>
              <w:bottom w:val="nil"/>
              <w:right w:val="single" w:sz="8" w:space="0" w:color="auto"/>
            </w:tcBorders>
            <w:shd w:val="clear" w:color="000000" w:fill="1F3864"/>
            <w:vAlign w:val="center"/>
            <w:hideMark/>
          </w:tcPr>
          <w:p w14:paraId="4CA77142" w14:textId="2FBF9CEB" w:rsidR="00424F32" w:rsidRPr="00232EBB" w:rsidRDefault="00424F32" w:rsidP="00424F32">
            <w:pPr>
              <w:spacing w:after="0" w:line="240" w:lineRule="auto"/>
              <w:jc w:val="center"/>
              <w:rPr>
                <w:rFonts w:eastAsia="Times New Roman"/>
                <w:b/>
                <w:bCs/>
                <w:color w:val="FFFFFF"/>
                <w:spacing w:val="0"/>
                <w:sz w:val="20"/>
                <w:szCs w:val="20"/>
              </w:rPr>
            </w:pPr>
            <w:r w:rsidRPr="009D16CD">
              <w:rPr>
                <w:rFonts w:eastAsia="Times New Roman"/>
                <w:b/>
                <w:bCs/>
                <w:color w:val="FFFFFF"/>
                <w:spacing w:val="0"/>
                <w:lang w:val="es-DO"/>
              </w:rPr>
              <w:t>Variación</w:t>
            </w:r>
          </w:p>
        </w:tc>
        <w:tc>
          <w:tcPr>
            <w:tcW w:w="706" w:type="dxa"/>
            <w:tcBorders>
              <w:top w:val="single" w:sz="8" w:space="0" w:color="auto"/>
              <w:left w:val="nil"/>
              <w:bottom w:val="nil"/>
              <w:right w:val="single" w:sz="8" w:space="0" w:color="auto"/>
            </w:tcBorders>
            <w:shd w:val="clear" w:color="000000" w:fill="1F3864"/>
            <w:vAlign w:val="center"/>
            <w:hideMark/>
          </w:tcPr>
          <w:p w14:paraId="4EB0E005" w14:textId="7421E422" w:rsidR="00424F32" w:rsidRPr="00232EBB" w:rsidRDefault="00424F32" w:rsidP="00424F32">
            <w:pPr>
              <w:spacing w:after="0" w:line="240" w:lineRule="auto"/>
              <w:jc w:val="center"/>
              <w:rPr>
                <w:rFonts w:eastAsia="Times New Roman"/>
                <w:b/>
                <w:bCs/>
                <w:color w:val="FFFFFF"/>
                <w:spacing w:val="0"/>
                <w:sz w:val="20"/>
                <w:szCs w:val="20"/>
              </w:rPr>
            </w:pPr>
            <w:r w:rsidRPr="009D16CD">
              <w:rPr>
                <w:rFonts w:eastAsia="Times New Roman"/>
                <w:b/>
                <w:bCs/>
                <w:color w:val="FFFFFF"/>
                <w:spacing w:val="0"/>
                <w:lang w:val="es-DO"/>
              </w:rPr>
              <w:t>%</w:t>
            </w:r>
          </w:p>
        </w:tc>
      </w:tr>
      <w:tr w:rsidR="00F410EE" w:rsidRPr="00232EBB" w14:paraId="3C27C8FE" w14:textId="77777777" w:rsidTr="00F410EE">
        <w:trPr>
          <w:gridBefore w:val="1"/>
          <w:wBefore w:w="10" w:type="dxa"/>
          <w:trHeight w:val="415"/>
          <w:jc w:val="center"/>
        </w:trPr>
        <w:tc>
          <w:tcPr>
            <w:tcW w:w="1982" w:type="dxa"/>
            <w:tcBorders>
              <w:top w:val="single" w:sz="8" w:space="0" w:color="auto"/>
              <w:left w:val="single" w:sz="8" w:space="0" w:color="auto"/>
              <w:bottom w:val="single" w:sz="8" w:space="0" w:color="auto"/>
              <w:right w:val="single" w:sz="8" w:space="0" w:color="auto"/>
            </w:tcBorders>
            <w:vAlign w:val="center"/>
            <w:hideMark/>
          </w:tcPr>
          <w:p w14:paraId="73262707" w14:textId="6F20E1BF" w:rsidR="00424F32" w:rsidRPr="00232EBB" w:rsidRDefault="00424F32" w:rsidP="00424F32">
            <w:pPr>
              <w:spacing w:after="0" w:line="240" w:lineRule="auto"/>
              <w:jc w:val="center"/>
              <w:rPr>
                <w:rFonts w:eastAsia="Times New Roman"/>
                <w:spacing w:val="0"/>
                <w:sz w:val="20"/>
                <w:szCs w:val="20"/>
              </w:rPr>
            </w:pPr>
            <w:r w:rsidRPr="009D16CD">
              <w:rPr>
                <w:rFonts w:eastAsia="Calibri"/>
                <w:noProof/>
                <w:spacing w:val="0"/>
                <w:lang w:val="es-DO"/>
              </w:rPr>
              <w:t>Enero</w:t>
            </w:r>
            <w:r>
              <w:rPr>
                <w:rFonts w:eastAsia="Calibri"/>
                <w:noProof/>
                <w:spacing w:val="0"/>
                <w:lang w:val="es-DO"/>
              </w:rPr>
              <w:t>-Diciembre</w:t>
            </w:r>
          </w:p>
        </w:tc>
        <w:tc>
          <w:tcPr>
            <w:tcW w:w="2236" w:type="dxa"/>
            <w:tcBorders>
              <w:top w:val="single" w:sz="8" w:space="0" w:color="auto"/>
              <w:left w:val="nil"/>
              <w:bottom w:val="single" w:sz="8" w:space="0" w:color="auto"/>
              <w:right w:val="single" w:sz="8" w:space="0" w:color="auto"/>
            </w:tcBorders>
            <w:vAlign w:val="center"/>
            <w:hideMark/>
          </w:tcPr>
          <w:p w14:paraId="19B42311" w14:textId="09D020F4" w:rsidR="00424F32" w:rsidRPr="00232EBB" w:rsidRDefault="00424F32" w:rsidP="00424F32">
            <w:pPr>
              <w:spacing w:after="0" w:line="240" w:lineRule="auto"/>
              <w:jc w:val="center"/>
              <w:rPr>
                <w:rFonts w:eastAsia="Times New Roman"/>
                <w:spacing w:val="0"/>
                <w:sz w:val="20"/>
                <w:szCs w:val="20"/>
              </w:rPr>
            </w:pPr>
            <w:r>
              <w:rPr>
                <w:rFonts w:eastAsia="Times New Roman"/>
                <w:spacing w:val="0"/>
              </w:rPr>
              <w:t>228,976,644,458.70</w:t>
            </w:r>
          </w:p>
        </w:tc>
        <w:tc>
          <w:tcPr>
            <w:tcW w:w="2236" w:type="dxa"/>
            <w:tcBorders>
              <w:top w:val="single" w:sz="8" w:space="0" w:color="auto"/>
              <w:left w:val="nil"/>
              <w:bottom w:val="single" w:sz="8" w:space="0" w:color="auto"/>
              <w:right w:val="single" w:sz="8" w:space="0" w:color="auto"/>
            </w:tcBorders>
            <w:vAlign w:val="center"/>
            <w:hideMark/>
          </w:tcPr>
          <w:p w14:paraId="2EB20FD4" w14:textId="070CD09A" w:rsidR="00424F32" w:rsidRPr="00232EBB" w:rsidRDefault="00424F32" w:rsidP="00424F32">
            <w:pPr>
              <w:spacing w:after="0" w:line="240" w:lineRule="auto"/>
              <w:jc w:val="center"/>
              <w:rPr>
                <w:rFonts w:eastAsia="Times New Roman"/>
                <w:spacing w:val="0"/>
                <w:sz w:val="20"/>
                <w:szCs w:val="20"/>
              </w:rPr>
            </w:pPr>
            <w:r>
              <w:rPr>
                <w:rFonts w:eastAsia="Times New Roman"/>
                <w:spacing w:val="0"/>
              </w:rPr>
              <w:t>212,746,678,553.17</w:t>
            </w:r>
          </w:p>
        </w:tc>
        <w:tc>
          <w:tcPr>
            <w:tcW w:w="2016" w:type="dxa"/>
            <w:tcBorders>
              <w:top w:val="single" w:sz="8" w:space="0" w:color="auto"/>
              <w:left w:val="nil"/>
              <w:bottom w:val="single" w:sz="8" w:space="0" w:color="auto"/>
              <w:right w:val="single" w:sz="8" w:space="0" w:color="auto"/>
            </w:tcBorders>
            <w:vAlign w:val="center"/>
            <w:hideMark/>
          </w:tcPr>
          <w:p w14:paraId="00160AE4" w14:textId="7525FD53" w:rsidR="00424F32" w:rsidRPr="00232EBB" w:rsidRDefault="00424F32" w:rsidP="00424F32">
            <w:pPr>
              <w:spacing w:after="0" w:line="240" w:lineRule="auto"/>
              <w:jc w:val="center"/>
              <w:rPr>
                <w:rFonts w:eastAsia="Times New Roman"/>
                <w:spacing w:val="0"/>
                <w:sz w:val="20"/>
                <w:szCs w:val="20"/>
              </w:rPr>
            </w:pPr>
            <w:r>
              <w:rPr>
                <w:rFonts w:eastAsia="Times New Roman"/>
                <w:spacing w:val="0"/>
              </w:rPr>
              <w:t>16,229,965,905.53</w:t>
            </w:r>
          </w:p>
        </w:tc>
        <w:tc>
          <w:tcPr>
            <w:tcW w:w="706" w:type="dxa"/>
            <w:tcBorders>
              <w:top w:val="single" w:sz="8" w:space="0" w:color="auto"/>
              <w:left w:val="nil"/>
              <w:bottom w:val="single" w:sz="8" w:space="0" w:color="auto"/>
              <w:right w:val="single" w:sz="8" w:space="0" w:color="auto"/>
            </w:tcBorders>
            <w:vAlign w:val="center"/>
            <w:hideMark/>
          </w:tcPr>
          <w:p w14:paraId="68AC7C41" w14:textId="048EDEA2" w:rsidR="00424F32" w:rsidRPr="00232EBB" w:rsidRDefault="00424F32" w:rsidP="00424F32">
            <w:pPr>
              <w:spacing w:after="0" w:line="240" w:lineRule="auto"/>
              <w:jc w:val="center"/>
              <w:rPr>
                <w:rFonts w:eastAsia="Times New Roman"/>
                <w:spacing w:val="0"/>
                <w:sz w:val="20"/>
                <w:szCs w:val="20"/>
              </w:rPr>
            </w:pPr>
            <w:r>
              <w:rPr>
                <w:rFonts w:eastAsia="Calibri"/>
                <w:noProof/>
                <w:spacing w:val="0"/>
                <w:lang w:val="es-DO"/>
              </w:rPr>
              <w:t>7.63</w:t>
            </w:r>
            <w:r w:rsidRPr="006A3FDE">
              <w:rPr>
                <w:rFonts w:eastAsia="Calibri"/>
                <w:noProof/>
                <w:spacing w:val="0"/>
                <w:lang w:val="es-DO"/>
              </w:rPr>
              <w:t>%</w:t>
            </w:r>
          </w:p>
        </w:tc>
      </w:tr>
    </w:tbl>
    <w:p w14:paraId="1D618538" w14:textId="060F227E" w:rsidR="00A443C2" w:rsidRPr="00232EBB" w:rsidRDefault="00A443C2" w:rsidP="00A443C2">
      <w:pPr>
        <w:spacing w:line="360" w:lineRule="auto"/>
        <w:jc w:val="both"/>
        <w:rPr>
          <w:rFonts w:eastAsia="Calibri"/>
          <w:noProof/>
          <w:sz w:val="18"/>
          <w:szCs w:val="18"/>
          <w:lang w:val="es-ES"/>
        </w:rPr>
      </w:pPr>
      <w:r w:rsidRPr="00232EBB">
        <w:rPr>
          <w:rFonts w:eastAsia="Calibri"/>
          <w:b/>
          <w:bCs/>
          <w:noProof/>
          <w:sz w:val="18"/>
          <w:szCs w:val="18"/>
          <w:lang w:val="es-ES"/>
        </w:rPr>
        <w:t xml:space="preserve">Tabla 2: </w:t>
      </w:r>
      <w:r w:rsidRPr="00232EBB">
        <w:rPr>
          <w:rFonts w:eastAsia="Calibri"/>
          <w:noProof/>
          <w:sz w:val="18"/>
          <w:szCs w:val="18"/>
          <w:lang w:val="es-ES"/>
        </w:rPr>
        <w:t>Pagos del Régimen Contributivo enero-</w:t>
      </w:r>
      <w:r w:rsidR="007A6ACD" w:rsidRPr="00232EBB">
        <w:rPr>
          <w:rFonts w:eastAsia="Calibri"/>
          <w:noProof/>
          <w:sz w:val="18"/>
          <w:szCs w:val="18"/>
          <w:lang w:val="es-ES"/>
        </w:rPr>
        <w:t>dic</w:t>
      </w:r>
      <w:r w:rsidR="00544B53" w:rsidRPr="00232EBB">
        <w:rPr>
          <w:rFonts w:eastAsia="Calibri"/>
          <w:noProof/>
          <w:sz w:val="18"/>
          <w:szCs w:val="18"/>
          <w:lang w:val="es-ES"/>
        </w:rPr>
        <w:t>iem</w:t>
      </w:r>
      <w:r w:rsidRPr="00232EBB">
        <w:rPr>
          <w:rFonts w:eastAsia="Calibri"/>
          <w:noProof/>
          <w:sz w:val="18"/>
          <w:szCs w:val="18"/>
          <w:lang w:val="es-ES"/>
        </w:rPr>
        <w:t>bre 202</w:t>
      </w:r>
      <w:r w:rsidR="00FA27DA" w:rsidRPr="00232EBB">
        <w:rPr>
          <w:rFonts w:eastAsia="Calibri"/>
          <w:noProof/>
          <w:sz w:val="18"/>
          <w:szCs w:val="18"/>
          <w:lang w:val="es-ES"/>
        </w:rPr>
        <w:t>5</w:t>
      </w:r>
      <w:r w:rsidRPr="00232EBB">
        <w:rPr>
          <w:rFonts w:eastAsia="Calibri"/>
          <w:noProof/>
          <w:sz w:val="18"/>
          <w:szCs w:val="18"/>
          <w:lang w:val="es-ES"/>
        </w:rPr>
        <w:t>.</w:t>
      </w:r>
    </w:p>
    <w:p w14:paraId="018716FD" w14:textId="77777777" w:rsidR="00701C3A" w:rsidRPr="00232EBB" w:rsidRDefault="00701C3A" w:rsidP="00701C3A">
      <w:pPr>
        <w:spacing w:after="0" w:line="360" w:lineRule="auto"/>
        <w:jc w:val="both"/>
        <w:rPr>
          <w:rFonts w:eastAsia="Calibri"/>
          <w:noProof/>
          <w:sz w:val="18"/>
          <w:szCs w:val="18"/>
          <w:lang w:val="es-ES"/>
        </w:rPr>
      </w:pPr>
    </w:p>
    <w:tbl>
      <w:tblPr>
        <w:tblW w:w="8810" w:type="dxa"/>
        <w:jc w:val="center"/>
        <w:tblLook w:val="04A0" w:firstRow="1" w:lastRow="0" w:firstColumn="1" w:lastColumn="0" w:noHBand="0" w:noVBand="1"/>
      </w:tblPr>
      <w:tblGrid>
        <w:gridCol w:w="1391"/>
        <w:gridCol w:w="2045"/>
        <w:gridCol w:w="1925"/>
        <w:gridCol w:w="1925"/>
        <w:gridCol w:w="1524"/>
      </w:tblGrid>
      <w:tr w:rsidR="00F410EE" w:rsidRPr="00232EBB" w14:paraId="5C6F181D" w14:textId="77777777" w:rsidTr="00A11948">
        <w:trPr>
          <w:trHeight w:val="593"/>
          <w:tblHeader/>
          <w:jc w:val="center"/>
        </w:trPr>
        <w:tc>
          <w:tcPr>
            <w:tcW w:w="1194" w:type="dxa"/>
            <w:tcBorders>
              <w:top w:val="single" w:sz="8" w:space="0" w:color="auto"/>
              <w:left w:val="single" w:sz="8" w:space="0" w:color="auto"/>
              <w:bottom w:val="nil"/>
              <w:right w:val="single" w:sz="8" w:space="0" w:color="auto"/>
            </w:tcBorders>
            <w:shd w:val="clear" w:color="000000" w:fill="1F3864"/>
            <w:vAlign w:val="center"/>
            <w:hideMark/>
          </w:tcPr>
          <w:p w14:paraId="7FC19CF5" w14:textId="103DFC4B" w:rsidR="00F410EE" w:rsidRPr="00232EBB" w:rsidRDefault="00F410EE" w:rsidP="00F410EE">
            <w:pPr>
              <w:spacing w:after="0" w:line="240" w:lineRule="auto"/>
              <w:jc w:val="center"/>
              <w:rPr>
                <w:rFonts w:eastAsia="Times New Roman"/>
                <w:b/>
                <w:bCs/>
                <w:color w:val="FFFFFF"/>
                <w:spacing w:val="0"/>
                <w:sz w:val="20"/>
                <w:szCs w:val="20"/>
              </w:rPr>
            </w:pPr>
            <w:r w:rsidRPr="00017787">
              <w:rPr>
                <w:rFonts w:eastAsia="Times New Roman"/>
                <w:b/>
                <w:bCs/>
                <w:color w:val="FFFFFF"/>
                <w:spacing w:val="0"/>
                <w:lang w:val="es-DO"/>
              </w:rPr>
              <w:t>Inversiones</w:t>
            </w:r>
          </w:p>
        </w:tc>
        <w:tc>
          <w:tcPr>
            <w:tcW w:w="2056" w:type="dxa"/>
            <w:tcBorders>
              <w:top w:val="single" w:sz="8" w:space="0" w:color="auto"/>
              <w:left w:val="nil"/>
              <w:bottom w:val="nil"/>
              <w:right w:val="single" w:sz="8" w:space="0" w:color="auto"/>
            </w:tcBorders>
            <w:shd w:val="clear" w:color="000000" w:fill="1F3864"/>
            <w:vAlign w:val="center"/>
            <w:hideMark/>
          </w:tcPr>
          <w:p w14:paraId="41AF7065" w14:textId="0B5C326A" w:rsidR="00F410EE" w:rsidRPr="00232EBB" w:rsidRDefault="00F410EE" w:rsidP="00F410EE">
            <w:pPr>
              <w:spacing w:after="0" w:line="240" w:lineRule="auto"/>
              <w:jc w:val="center"/>
              <w:rPr>
                <w:rFonts w:eastAsia="Times New Roman"/>
                <w:b/>
                <w:bCs/>
                <w:color w:val="FFFFFF"/>
                <w:spacing w:val="0"/>
                <w:sz w:val="20"/>
                <w:szCs w:val="20"/>
              </w:rPr>
            </w:pPr>
            <w:r w:rsidRPr="00017787">
              <w:rPr>
                <w:rFonts w:eastAsia="Times New Roman"/>
                <w:b/>
                <w:bCs/>
                <w:color w:val="FFFFFF"/>
                <w:spacing w:val="0"/>
                <w:lang w:val="es-DO"/>
              </w:rPr>
              <w:t>202</w:t>
            </w:r>
            <w:r>
              <w:rPr>
                <w:rFonts w:eastAsia="Times New Roman"/>
                <w:b/>
                <w:bCs/>
                <w:color w:val="FFFFFF"/>
                <w:spacing w:val="0"/>
                <w:lang w:val="es-DO"/>
              </w:rPr>
              <w:t>5</w:t>
            </w:r>
          </w:p>
        </w:tc>
        <w:tc>
          <w:tcPr>
            <w:tcW w:w="1936" w:type="dxa"/>
            <w:tcBorders>
              <w:top w:val="single" w:sz="8" w:space="0" w:color="auto"/>
              <w:left w:val="nil"/>
              <w:bottom w:val="nil"/>
              <w:right w:val="single" w:sz="8" w:space="0" w:color="auto"/>
            </w:tcBorders>
            <w:shd w:val="clear" w:color="000000" w:fill="1F3864"/>
            <w:vAlign w:val="center"/>
            <w:hideMark/>
          </w:tcPr>
          <w:p w14:paraId="0277A33E" w14:textId="7B3F8C64" w:rsidR="00F410EE" w:rsidRPr="00232EBB" w:rsidRDefault="00F410EE" w:rsidP="00F410EE">
            <w:pPr>
              <w:spacing w:after="0" w:line="240" w:lineRule="auto"/>
              <w:jc w:val="center"/>
              <w:rPr>
                <w:rFonts w:eastAsia="Times New Roman"/>
                <w:b/>
                <w:bCs/>
                <w:color w:val="FFFFFF"/>
                <w:spacing w:val="0"/>
                <w:sz w:val="20"/>
                <w:szCs w:val="20"/>
              </w:rPr>
            </w:pPr>
            <w:r w:rsidRPr="00017787">
              <w:rPr>
                <w:rFonts w:eastAsia="Times New Roman"/>
                <w:b/>
                <w:bCs/>
                <w:color w:val="FFFFFF"/>
                <w:spacing w:val="0"/>
                <w:lang w:val="es-DO"/>
              </w:rPr>
              <w:t>202</w:t>
            </w:r>
            <w:r>
              <w:rPr>
                <w:rFonts w:eastAsia="Times New Roman"/>
                <w:b/>
                <w:bCs/>
                <w:color w:val="FFFFFF"/>
                <w:spacing w:val="0"/>
                <w:lang w:val="es-DO"/>
              </w:rPr>
              <w:t>4</w:t>
            </w:r>
          </w:p>
        </w:tc>
        <w:tc>
          <w:tcPr>
            <w:tcW w:w="1936" w:type="dxa"/>
            <w:tcBorders>
              <w:top w:val="single" w:sz="8" w:space="0" w:color="auto"/>
              <w:left w:val="nil"/>
              <w:bottom w:val="nil"/>
              <w:right w:val="single" w:sz="8" w:space="0" w:color="auto"/>
            </w:tcBorders>
            <w:shd w:val="clear" w:color="000000" w:fill="1F3864"/>
            <w:vAlign w:val="center"/>
            <w:hideMark/>
          </w:tcPr>
          <w:p w14:paraId="42BE3F1D" w14:textId="3D84BBB5" w:rsidR="00F410EE" w:rsidRPr="00232EBB" w:rsidRDefault="00F410EE" w:rsidP="00F410EE">
            <w:pPr>
              <w:spacing w:after="0" w:line="240" w:lineRule="auto"/>
              <w:jc w:val="center"/>
              <w:rPr>
                <w:rFonts w:eastAsia="Times New Roman"/>
                <w:b/>
                <w:bCs/>
                <w:color w:val="FFFFFF"/>
                <w:spacing w:val="0"/>
                <w:sz w:val="20"/>
                <w:szCs w:val="20"/>
              </w:rPr>
            </w:pPr>
            <w:r w:rsidRPr="00017787">
              <w:rPr>
                <w:rFonts w:eastAsia="Times New Roman"/>
                <w:b/>
                <w:bCs/>
                <w:color w:val="FFFFFF"/>
                <w:spacing w:val="0"/>
                <w:lang w:val="es-DO"/>
              </w:rPr>
              <w:t>Variación</w:t>
            </w:r>
          </w:p>
        </w:tc>
        <w:tc>
          <w:tcPr>
            <w:tcW w:w="1688" w:type="dxa"/>
            <w:tcBorders>
              <w:top w:val="single" w:sz="8" w:space="0" w:color="auto"/>
              <w:left w:val="nil"/>
              <w:bottom w:val="nil"/>
              <w:right w:val="single" w:sz="8" w:space="0" w:color="auto"/>
            </w:tcBorders>
            <w:shd w:val="clear" w:color="000000" w:fill="1F3864"/>
            <w:vAlign w:val="center"/>
            <w:hideMark/>
          </w:tcPr>
          <w:p w14:paraId="17882138" w14:textId="376F0632" w:rsidR="00F410EE" w:rsidRPr="00232EBB" w:rsidRDefault="00F410EE" w:rsidP="00F410EE">
            <w:pPr>
              <w:spacing w:after="0" w:line="240" w:lineRule="auto"/>
              <w:jc w:val="center"/>
              <w:rPr>
                <w:rFonts w:eastAsia="Times New Roman"/>
                <w:b/>
                <w:bCs/>
                <w:color w:val="FFFFFF"/>
                <w:spacing w:val="0"/>
                <w:sz w:val="20"/>
                <w:szCs w:val="20"/>
              </w:rPr>
            </w:pPr>
            <w:r w:rsidRPr="00017787">
              <w:rPr>
                <w:rFonts w:eastAsia="Times New Roman"/>
                <w:b/>
                <w:bCs/>
                <w:color w:val="FFFFFF"/>
                <w:spacing w:val="0"/>
                <w:lang w:val="es-DO"/>
              </w:rPr>
              <w:t>%</w:t>
            </w:r>
          </w:p>
        </w:tc>
      </w:tr>
      <w:tr w:rsidR="00F410EE" w:rsidRPr="00232EBB" w14:paraId="47B42FD9" w14:textId="77777777" w:rsidTr="00A36F11">
        <w:trPr>
          <w:trHeight w:val="593"/>
          <w:jc w:val="center"/>
        </w:trPr>
        <w:tc>
          <w:tcPr>
            <w:tcW w:w="1194" w:type="dxa"/>
            <w:tcBorders>
              <w:top w:val="single" w:sz="8" w:space="0" w:color="auto"/>
              <w:left w:val="single" w:sz="8" w:space="0" w:color="auto"/>
              <w:bottom w:val="single" w:sz="8" w:space="0" w:color="auto"/>
              <w:right w:val="single" w:sz="8" w:space="0" w:color="auto"/>
            </w:tcBorders>
            <w:vAlign w:val="center"/>
            <w:hideMark/>
          </w:tcPr>
          <w:p w14:paraId="2CFD0846" w14:textId="6A9CAE41" w:rsidR="00F410EE" w:rsidRPr="00232EBB" w:rsidRDefault="00F410EE" w:rsidP="00F410EE">
            <w:pPr>
              <w:spacing w:after="0" w:line="240" w:lineRule="auto"/>
              <w:jc w:val="center"/>
              <w:rPr>
                <w:rFonts w:eastAsia="Times New Roman"/>
                <w:spacing w:val="0"/>
                <w:sz w:val="20"/>
                <w:szCs w:val="20"/>
              </w:rPr>
            </w:pPr>
            <w:r w:rsidRPr="00017787">
              <w:rPr>
                <w:rFonts w:eastAsia="Calibri"/>
                <w:noProof/>
                <w:spacing w:val="0"/>
                <w:lang w:val="es-DO"/>
              </w:rPr>
              <w:t>Enero</w:t>
            </w:r>
            <w:r>
              <w:rPr>
                <w:rFonts w:eastAsia="Calibri"/>
                <w:noProof/>
                <w:spacing w:val="0"/>
                <w:lang w:val="es-DO"/>
              </w:rPr>
              <w:t>-Diciembre</w:t>
            </w:r>
          </w:p>
        </w:tc>
        <w:tc>
          <w:tcPr>
            <w:tcW w:w="2056" w:type="dxa"/>
            <w:tcBorders>
              <w:top w:val="single" w:sz="8" w:space="0" w:color="auto"/>
              <w:left w:val="nil"/>
              <w:bottom w:val="single" w:sz="8" w:space="0" w:color="auto"/>
              <w:right w:val="single" w:sz="8" w:space="0" w:color="auto"/>
            </w:tcBorders>
            <w:vAlign w:val="center"/>
            <w:hideMark/>
          </w:tcPr>
          <w:p w14:paraId="023322F3" w14:textId="027F3290" w:rsidR="00F410EE" w:rsidRPr="00232EBB" w:rsidRDefault="00F410EE" w:rsidP="00F410EE">
            <w:pPr>
              <w:spacing w:after="0" w:line="240" w:lineRule="auto"/>
              <w:jc w:val="center"/>
              <w:rPr>
                <w:rFonts w:eastAsia="Times New Roman"/>
                <w:spacing w:val="0"/>
                <w:sz w:val="20"/>
                <w:szCs w:val="20"/>
                <w:highlight w:val="yellow"/>
              </w:rPr>
            </w:pPr>
            <w:r w:rsidRPr="00D766DF">
              <w:rPr>
                <w:rFonts w:eastAsia="Times New Roman"/>
                <w:spacing w:val="0"/>
              </w:rPr>
              <w:t>18,</w:t>
            </w:r>
            <w:r>
              <w:rPr>
                <w:rFonts w:eastAsia="Times New Roman"/>
                <w:spacing w:val="0"/>
              </w:rPr>
              <w:t>750,487,657.74</w:t>
            </w:r>
          </w:p>
        </w:tc>
        <w:tc>
          <w:tcPr>
            <w:tcW w:w="1936" w:type="dxa"/>
            <w:tcBorders>
              <w:top w:val="single" w:sz="8" w:space="0" w:color="auto"/>
              <w:left w:val="nil"/>
              <w:bottom w:val="single" w:sz="8" w:space="0" w:color="auto"/>
              <w:right w:val="single" w:sz="8" w:space="0" w:color="auto"/>
            </w:tcBorders>
            <w:vAlign w:val="center"/>
            <w:hideMark/>
          </w:tcPr>
          <w:p w14:paraId="7ED07C9F" w14:textId="39FC7808" w:rsidR="00F410EE" w:rsidRPr="00232EBB" w:rsidRDefault="00F410EE" w:rsidP="00F410EE">
            <w:pPr>
              <w:spacing w:after="0" w:line="240" w:lineRule="auto"/>
              <w:jc w:val="center"/>
              <w:rPr>
                <w:rFonts w:eastAsia="Times New Roman"/>
                <w:spacing w:val="0"/>
                <w:sz w:val="20"/>
                <w:szCs w:val="20"/>
                <w:highlight w:val="yellow"/>
              </w:rPr>
            </w:pPr>
            <w:r>
              <w:rPr>
                <w:rFonts w:eastAsia="Times New Roman"/>
                <w:spacing w:val="0"/>
              </w:rPr>
              <w:t>8,773,975,883.54</w:t>
            </w:r>
          </w:p>
        </w:tc>
        <w:tc>
          <w:tcPr>
            <w:tcW w:w="1936" w:type="dxa"/>
            <w:tcBorders>
              <w:top w:val="single" w:sz="8" w:space="0" w:color="auto"/>
              <w:left w:val="nil"/>
              <w:bottom w:val="single" w:sz="8" w:space="0" w:color="auto"/>
              <w:right w:val="single" w:sz="8" w:space="0" w:color="auto"/>
            </w:tcBorders>
            <w:vAlign w:val="center"/>
            <w:hideMark/>
          </w:tcPr>
          <w:p w14:paraId="1F49D062" w14:textId="768DDFB2" w:rsidR="00F410EE" w:rsidRPr="00232EBB" w:rsidRDefault="00F410EE" w:rsidP="00F410EE">
            <w:pPr>
              <w:spacing w:after="0" w:line="240" w:lineRule="auto"/>
              <w:jc w:val="center"/>
              <w:rPr>
                <w:rFonts w:eastAsia="Times New Roman"/>
                <w:spacing w:val="0"/>
                <w:sz w:val="20"/>
                <w:szCs w:val="20"/>
              </w:rPr>
            </w:pPr>
            <w:r w:rsidRPr="00D766DF">
              <w:rPr>
                <w:rFonts w:eastAsia="Times New Roman"/>
                <w:spacing w:val="0"/>
              </w:rPr>
              <w:t>9,</w:t>
            </w:r>
            <w:r>
              <w:rPr>
                <w:rFonts w:eastAsia="Times New Roman"/>
                <w:spacing w:val="0"/>
              </w:rPr>
              <w:t>976,511,774.20</w:t>
            </w:r>
          </w:p>
        </w:tc>
        <w:tc>
          <w:tcPr>
            <w:tcW w:w="1688" w:type="dxa"/>
            <w:tcBorders>
              <w:top w:val="single" w:sz="8" w:space="0" w:color="auto"/>
              <w:left w:val="nil"/>
              <w:bottom w:val="single" w:sz="8" w:space="0" w:color="auto"/>
              <w:right w:val="single" w:sz="8" w:space="0" w:color="auto"/>
            </w:tcBorders>
            <w:vAlign w:val="center"/>
            <w:hideMark/>
          </w:tcPr>
          <w:p w14:paraId="6DCC0A4D" w14:textId="10D321A4" w:rsidR="00F410EE" w:rsidRPr="00232EBB" w:rsidRDefault="00F410EE" w:rsidP="00F410EE">
            <w:pPr>
              <w:spacing w:after="0" w:line="240" w:lineRule="auto"/>
              <w:jc w:val="center"/>
              <w:rPr>
                <w:rFonts w:eastAsia="Times New Roman"/>
                <w:spacing w:val="0"/>
                <w:sz w:val="20"/>
                <w:szCs w:val="20"/>
              </w:rPr>
            </w:pPr>
            <w:r w:rsidRPr="00D766DF">
              <w:rPr>
                <w:rFonts w:eastAsia="Times New Roman"/>
                <w:spacing w:val="0"/>
              </w:rPr>
              <w:t>1</w:t>
            </w:r>
            <w:r>
              <w:rPr>
                <w:rFonts w:eastAsia="Times New Roman"/>
                <w:spacing w:val="0"/>
              </w:rPr>
              <w:t>13.71</w:t>
            </w:r>
            <w:r w:rsidRPr="00D766DF">
              <w:rPr>
                <w:rFonts w:eastAsia="Times New Roman"/>
                <w:spacing w:val="0"/>
              </w:rPr>
              <w:t>%</w:t>
            </w:r>
          </w:p>
        </w:tc>
      </w:tr>
    </w:tbl>
    <w:p w14:paraId="56DEC4DD" w14:textId="12FE825B" w:rsidR="00701C3A" w:rsidRPr="00232EBB" w:rsidRDefault="00A443C2" w:rsidP="00701C3A">
      <w:pPr>
        <w:spacing w:line="360" w:lineRule="auto"/>
        <w:jc w:val="both"/>
        <w:rPr>
          <w:rFonts w:eastAsia="Calibri"/>
          <w:noProof/>
          <w:sz w:val="18"/>
          <w:szCs w:val="18"/>
          <w:lang w:val="es-ES"/>
        </w:rPr>
      </w:pPr>
      <w:r w:rsidRPr="00232EBB">
        <w:rPr>
          <w:rFonts w:eastAsia="Calibri"/>
          <w:b/>
          <w:bCs/>
          <w:noProof/>
          <w:sz w:val="18"/>
          <w:szCs w:val="18"/>
          <w:lang w:val="es-ES"/>
        </w:rPr>
        <w:t xml:space="preserve">Tabla 3: </w:t>
      </w:r>
      <w:r w:rsidRPr="00232EBB">
        <w:rPr>
          <w:rFonts w:eastAsia="Calibri"/>
          <w:noProof/>
          <w:sz w:val="18"/>
          <w:szCs w:val="18"/>
          <w:lang w:val="es-ES"/>
        </w:rPr>
        <w:t>Inversiones del Régimen Contributivo enero-</w:t>
      </w:r>
      <w:r w:rsidR="007A6ACD" w:rsidRPr="00232EBB">
        <w:rPr>
          <w:rFonts w:eastAsia="Calibri"/>
          <w:noProof/>
          <w:sz w:val="18"/>
          <w:szCs w:val="18"/>
          <w:lang w:val="es-ES"/>
        </w:rPr>
        <w:t>dic</w:t>
      </w:r>
      <w:r w:rsidR="00544B53" w:rsidRPr="00232EBB">
        <w:rPr>
          <w:rFonts w:eastAsia="Calibri"/>
          <w:noProof/>
          <w:sz w:val="18"/>
          <w:szCs w:val="18"/>
          <w:lang w:val="es-ES"/>
        </w:rPr>
        <w:t>iem</w:t>
      </w:r>
      <w:r w:rsidRPr="00232EBB">
        <w:rPr>
          <w:rFonts w:eastAsia="Calibri"/>
          <w:noProof/>
          <w:sz w:val="18"/>
          <w:szCs w:val="18"/>
          <w:lang w:val="es-ES"/>
        </w:rPr>
        <w:t>bre 202</w:t>
      </w:r>
      <w:r w:rsidR="00FA27DA" w:rsidRPr="00232EBB">
        <w:rPr>
          <w:rFonts w:eastAsia="Calibri"/>
          <w:noProof/>
          <w:sz w:val="18"/>
          <w:szCs w:val="18"/>
          <w:lang w:val="es-ES"/>
        </w:rPr>
        <w:t>5</w:t>
      </w:r>
    </w:p>
    <w:p w14:paraId="1DFEBCF6" w14:textId="3AAEE3BB" w:rsidR="00A443C2" w:rsidRPr="00232EBB" w:rsidRDefault="00A443C2" w:rsidP="00A443C2">
      <w:pPr>
        <w:spacing w:after="0" w:line="360" w:lineRule="auto"/>
        <w:jc w:val="both"/>
        <w:rPr>
          <w:rFonts w:eastAsia="Calibri"/>
          <w:noProof/>
          <w:lang w:val="es-ES"/>
        </w:rPr>
      </w:pPr>
      <w:r w:rsidRPr="00232EBB">
        <w:rPr>
          <w:rFonts w:eastAsia="Calibri"/>
          <w:noProof/>
          <w:lang w:val="es-DO"/>
        </w:rPr>
        <w:t>Rendimientos Generados en Inversiones</w:t>
      </w:r>
      <w:r w:rsidRPr="00232EBB">
        <w:rPr>
          <w:rFonts w:eastAsia="Calibri"/>
          <w:noProof/>
          <w:lang w:val="es-ES"/>
        </w:rPr>
        <w:t>:</w:t>
      </w:r>
    </w:p>
    <w:tbl>
      <w:tblPr>
        <w:tblpPr w:leftFromText="180" w:rightFromText="180" w:vertAnchor="text" w:horzAnchor="margin" w:tblpX="-480" w:tblpY="60"/>
        <w:tblW w:w="8810" w:type="dxa"/>
        <w:tblLook w:val="04A0" w:firstRow="1" w:lastRow="0" w:firstColumn="1" w:lastColumn="0" w:noHBand="0" w:noVBand="1"/>
      </w:tblPr>
      <w:tblGrid>
        <w:gridCol w:w="1861"/>
        <w:gridCol w:w="1936"/>
        <w:gridCol w:w="1936"/>
        <w:gridCol w:w="1744"/>
        <w:gridCol w:w="1333"/>
      </w:tblGrid>
      <w:tr w:rsidR="00F410EE" w:rsidRPr="00232EBB" w14:paraId="4CB1A830" w14:textId="77777777" w:rsidTr="00A11948">
        <w:trPr>
          <w:trHeight w:val="643"/>
        </w:trPr>
        <w:tc>
          <w:tcPr>
            <w:tcW w:w="1861" w:type="dxa"/>
            <w:tcBorders>
              <w:top w:val="single" w:sz="8" w:space="0" w:color="auto"/>
              <w:left w:val="single" w:sz="8" w:space="0" w:color="auto"/>
              <w:bottom w:val="nil"/>
              <w:right w:val="single" w:sz="8" w:space="0" w:color="auto"/>
            </w:tcBorders>
            <w:shd w:val="clear" w:color="000000" w:fill="1F3864"/>
            <w:vAlign w:val="center"/>
            <w:hideMark/>
          </w:tcPr>
          <w:p w14:paraId="50A3F319" w14:textId="17048572" w:rsidR="00F410EE" w:rsidRPr="00232EBB" w:rsidRDefault="00F410EE" w:rsidP="00F410EE">
            <w:pPr>
              <w:spacing w:after="0" w:line="240" w:lineRule="auto"/>
              <w:jc w:val="center"/>
              <w:rPr>
                <w:rFonts w:eastAsia="Times New Roman"/>
                <w:b/>
                <w:bCs/>
                <w:color w:val="FFFFFF"/>
                <w:spacing w:val="0"/>
                <w:sz w:val="20"/>
                <w:szCs w:val="20"/>
                <w:lang w:val="es-ES"/>
              </w:rPr>
            </w:pPr>
            <w:r>
              <w:rPr>
                <w:rFonts w:eastAsia="Times New Roman"/>
                <w:b/>
                <w:bCs/>
                <w:color w:val="FFFFFF"/>
                <w:spacing w:val="0"/>
                <w:lang w:val="es-DO"/>
              </w:rPr>
              <w:t>Rendimientos Inversiones</w:t>
            </w:r>
          </w:p>
        </w:tc>
        <w:tc>
          <w:tcPr>
            <w:tcW w:w="1936" w:type="dxa"/>
            <w:tcBorders>
              <w:top w:val="single" w:sz="8" w:space="0" w:color="auto"/>
              <w:left w:val="nil"/>
              <w:bottom w:val="nil"/>
              <w:right w:val="single" w:sz="8" w:space="0" w:color="auto"/>
            </w:tcBorders>
            <w:shd w:val="clear" w:color="000000" w:fill="1F3864"/>
            <w:vAlign w:val="center"/>
            <w:hideMark/>
          </w:tcPr>
          <w:p w14:paraId="3CB1D5BB" w14:textId="0520497C" w:rsidR="00F410EE" w:rsidRPr="00232EBB" w:rsidRDefault="00F410EE" w:rsidP="00F410EE">
            <w:pPr>
              <w:spacing w:after="0" w:line="240" w:lineRule="auto"/>
              <w:jc w:val="center"/>
              <w:rPr>
                <w:rFonts w:eastAsia="Times New Roman"/>
                <w:b/>
                <w:bCs/>
                <w:color w:val="FFFFFF"/>
                <w:spacing w:val="0"/>
                <w:sz w:val="20"/>
                <w:szCs w:val="20"/>
              </w:rPr>
            </w:pPr>
            <w:r w:rsidRPr="00017787">
              <w:rPr>
                <w:rFonts w:eastAsia="Times New Roman"/>
                <w:b/>
                <w:bCs/>
                <w:color w:val="FFFFFF"/>
                <w:spacing w:val="0"/>
                <w:lang w:val="es-DO"/>
              </w:rPr>
              <w:t>202</w:t>
            </w:r>
            <w:r>
              <w:rPr>
                <w:rFonts w:eastAsia="Times New Roman"/>
                <w:b/>
                <w:bCs/>
                <w:color w:val="FFFFFF"/>
                <w:spacing w:val="0"/>
                <w:lang w:val="es-DO"/>
              </w:rPr>
              <w:t>5</w:t>
            </w:r>
          </w:p>
        </w:tc>
        <w:tc>
          <w:tcPr>
            <w:tcW w:w="1936" w:type="dxa"/>
            <w:tcBorders>
              <w:top w:val="single" w:sz="8" w:space="0" w:color="auto"/>
              <w:left w:val="nil"/>
              <w:bottom w:val="nil"/>
              <w:right w:val="single" w:sz="8" w:space="0" w:color="auto"/>
            </w:tcBorders>
            <w:shd w:val="clear" w:color="000000" w:fill="1F3864"/>
            <w:vAlign w:val="center"/>
            <w:hideMark/>
          </w:tcPr>
          <w:p w14:paraId="0D6143FF" w14:textId="6F4F499F" w:rsidR="00F410EE" w:rsidRPr="00232EBB" w:rsidRDefault="00F410EE" w:rsidP="00F410EE">
            <w:pPr>
              <w:spacing w:after="0" w:line="240" w:lineRule="auto"/>
              <w:jc w:val="center"/>
              <w:rPr>
                <w:rFonts w:eastAsia="Times New Roman"/>
                <w:b/>
                <w:bCs/>
                <w:color w:val="FFFFFF"/>
                <w:spacing w:val="0"/>
                <w:sz w:val="20"/>
                <w:szCs w:val="20"/>
              </w:rPr>
            </w:pPr>
            <w:r w:rsidRPr="00017787">
              <w:rPr>
                <w:rFonts w:eastAsia="Times New Roman"/>
                <w:b/>
                <w:bCs/>
                <w:color w:val="FFFFFF"/>
                <w:spacing w:val="0"/>
                <w:lang w:val="es-DO"/>
              </w:rPr>
              <w:t>202</w:t>
            </w:r>
            <w:r>
              <w:rPr>
                <w:rFonts w:eastAsia="Times New Roman"/>
                <w:b/>
                <w:bCs/>
                <w:color w:val="FFFFFF"/>
                <w:spacing w:val="0"/>
                <w:lang w:val="es-DO"/>
              </w:rPr>
              <w:t>4</w:t>
            </w:r>
          </w:p>
        </w:tc>
        <w:tc>
          <w:tcPr>
            <w:tcW w:w="1744" w:type="dxa"/>
            <w:tcBorders>
              <w:top w:val="single" w:sz="8" w:space="0" w:color="auto"/>
              <w:left w:val="nil"/>
              <w:bottom w:val="nil"/>
              <w:right w:val="single" w:sz="8" w:space="0" w:color="auto"/>
            </w:tcBorders>
            <w:shd w:val="clear" w:color="000000" w:fill="1F3864"/>
            <w:vAlign w:val="center"/>
            <w:hideMark/>
          </w:tcPr>
          <w:p w14:paraId="677A580A" w14:textId="53B3915B" w:rsidR="00F410EE" w:rsidRPr="00232EBB" w:rsidRDefault="00F410EE" w:rsidP="00F410EE">
            <w:pPr>
              <w:spacing w:after="0" w:line="240" w:lineRule="auto"/>
              <w:jc w:val="center"/>
              <w:rPr>
                <w:rFonts w:eastAsia="Times New Roman"/>
                <w:b/>
                <w:bCs/>
                <w:color w:val="FFFFFF"/>
                <w:spacing w:val="0"/>
                <w:sz w:val="20"/>
                <w:szCs w:val="20"/>
              </w:rPr>
            </w:pPr>
            <w:r w:rsidRPr="00017787">
              <w:rPr>
                <w:rFonts w:eastAsia="Times New Roman"/>
                <w:b/>
                <w:bCs/>
                <w:color w:val="FFFFFF"/>
                <w:spacing w:val="0"/>
                <w:lang w:val="es-DO"/>
              </w:rPr>
              <w:t>Variación</w:t>
            </w:r>
          </w:p>
        </w:tc>
        <w:tc>
          <w:tcPr>
            <w:tcW w:w="1333" w:type="dxa"/>
            <w:tcBorders>
              <w:top w:val="single" w:sz="8" w:space="0" w:color="auto"/>
              <w:left w:val="nil"/>
              <w:bottom w:val="nil"/>
              <w:right w:val="single" w:sz="8" w:space="0" w:color="auto"/>
            </w:tcBorders>
            <w:shd w:val="clear" w:color="000000" w:fill="1F3864"/>
            <w:vAlign w:val="center"/>
            <w:hideMark/>
          </w:tcPr>
          <w:p w14:paraId="5B905FA2" w14:textId="5D81F43B" w:rsidR="00F410EE" w:rsidRPr="00232EBB" w:rsidRDefault="00F410EE" w:rsidP="00F410EE">
            <w:pPr>
              <w:spacing w:after="0" w:line="240" w:lineRule="auto"/>
              <w:jc w:val="center"/>
              <w:rPr>
                <w:rFonts w:eastAsia="Times New Roman"/>
                <w:b/>
                <w:bCs/>
                <w:color w:val="FFFFFF"/>
                <w:spacing w:val="0"/>
                <w:sz w:val="20"/>
                <w:szCs w:val="20"/>
              </w:rPr>
            </w:pPr>
            <w:r w:rsidRPr="00017787">
              <w:rPr>
                <w:rFonts w:eastAsia="Times New Roman"/>
                <w:b/>
                <w:bCs/>
                <w:color w:val="FFFFFF"/>
                <w:spacing w:val="0"/>
                <w:lang w:val="es-DO"/>
              </w:rPr>
              <w:t>%</w:t>
            </w:r>
          </w:p>
        </w:tc>
      </w:tr>
      <w:tr w:rsidR="00F410EE" w:rsidRPr="00232EBB" w14:paraId="6DFDDDCC" w14:textId="77777777" w:rsidTr="00BD2AEE">
        <w:trPr>
          <w:trHeight w:val="233"/>
        </w:trPr>
        <w:tc>
          <w:tcPr>
            <w:tcW w:w="1861" w:type="dxa"/>
            <w:tcBorders>
              <w:top w:val="single" w:sz="8" w:space="0" w:color="auto"/>
              <w:left w:val="single" w:sz="8" w:space="0" w:color="auto"/>
              <w:bottom w:val="single" w:sz="8" w:space="0" w:color="auto"/>
              <w:right w:val="single" w:sz="8" w:space="0" w:color="auto"/>
            </w:tcBorders>
            <w:vAlign w:val="center"/>
            <w:hideMark/>
          </w:tcPr>
          <w:p w14:paraId="568E0736" w14:textId="14B2B5DA" w:rsidR="00F410EE" w:rsidRPr="00232EBB" w:rsidRDefault="00F410EE" w:rsidP="00F410EE">
            <w:pPr>
              <w:spacing w:after="0" w:line="240" w:lineRule="auto"/>
              <w:jc w:val="center"/>
              <w:rPr>
                <w:rFonts w:eastAsia="Times New Roman"/>
                <w:spacing w:val="0"/>
                <w:sz w:val="20"/>
                <w:szCs w:val="20"/>
              </w:rPr>
            </w:pPr>
            <w:r w:rsidRPr="006A3FDE">
              <w:rPr>
                <w:rFonts w:eastAsia="Calibri"/>
                <w:noProof/>
                <w:spacing w:val="0"/>
                <w:lang w:val="es-DO"/>
              </w:rPr>
              <w:t>Enero</w:t>
            </w:r>
            <w:r>
              <w:rPr>
                <w:rFonts w:eastAsia="Calibri"/>
                <w:noProof/>
                <w:spacing w:val="0"/>
                <w:lang w:val="es-DO"/>
              </w:rPr>
              <w:t>-Diciembre</w:t>
            </w:r>
          </w:p>
        </w:tc>
        <w:tc>
          <w:tcPr>
            <w:tcW w:w="1936" w:type="dxa"/>
            <w:tcBorders>
              <w:top w:val="single" w:sz="8" w:space="0" w:color="auto"/>
              <w:left w:val="nil"/>
              <w:bottom w:val="single" w:sz="8" w:space="0" w:color="auto"/>
              <w:right w:val="single" w:sz="8" w:space="0" w:color="auto"/>
            </w:tcBorders>
            <w:vAlign w:val="center"/>
            <w:hideMark/>
          </w:tcPr>
          <w:p w14:paraId="21B7914A" w14:textId="72922F20" w:rsidR="00F410EE" w:rsidRPr="00232EBB" w:rsidRDefault="00F410EE" w:rsidP="00F410EE">
            <w:pPr>
              <w:spacing w:after="0" w:line="240" w:lineRule="auto"/>
              <w:jc w:val="center"/>
              <w:rPr>
                <w:rFonts w:eastAsia="Times New Roman"/>
                <w:spacing w:val="0"/>
                <w:sz w:val="20"/>
                <w:szCs w:val="20"/>
              </w:rPr>
            </w:pPr>
            <w:r w:rsidRPr="00873245">
              <w:rPr>
                <w:rFonts w:eastAsia="Times New Roman"/>
                <w:spacing w:val="0"/>
              </w:rPr>
              <w:t>1,165,246,322.51</w:t>
            </w:r>
          </w:p>
        </w:tc>
        <w:tc>
          <w:tcPr>
            <w:tcW w:w="1936" w:type="dxa"/>
            <w:tcBorders>
              <w:top w:val="single" w:sz="8" w:space="0" w:color="auto"/>
              <w:left w:val="nil"/>
              <w:bottom w:val="single" w:sz="8" w:space="0" w:color="auto"/>
              <w:right w:val="single" w:sz="8" w:space="0" w:color="auto"/>
            </w:tcBorders>
            <w:vAlign w:val="center"/>
            <w:hideMark/>
          </w:tcPr>
          <w:p w14:paraId="1A4D823A" w14:textId="073C5CF8" w:rsidR="00F410EE" w:rsidRPr="00232EBB" w:rsidRDefault="00F410EE" w:rsidP="00F410EE">
            <w:pPr>
              <w:spacing w:after="0" w:line="240" w:lineRule="auto"/>
              <w:jc w:val="center"/>
              <w:rPr>
                <w:rFonts w:eastAsia="Times New Roman"/>
                <w:spacing w:val="0"/>
                <w:sz w:val="20"/>
                <w:szCs w:val="20"/>
              </w:rPr>
            </w:pPr>
            <w:r>
              <w:rPr>
                <w:rFonts w:eastAsia="Times New Roman"/>
                <w:spacing w:val="0"/>
              </w:rPr>
              <w:t>1,185,611,363.37</w:t>
            </w:r>
          </w:p>
        </w:tc>
        <w:tc>
          <w:tcPr>
            <w:tcW w:w="1744" w:type="dxa"/>
            <w:tcBorders>
              <w:top w:val="single" w:sz="8" w:space="0" w:color="auto"/>
              <w:left w:val="nil"/>
              <w:bottom w:val="single" w:sz="8" w:space="0" w:color="auto"/>
              <w:right w:val="single" w:sz="8" w:space="0" w:color="auto"/>
            </w:tcBorders>
            <w:vAlign w:val="center"/>
            <w:hideMark/>
          </w:tcPr>
          <w:p w14:paraId="2A89A358" w14:textId="48049931" w:rsidR="00F410EE" w:rsidRPr="00232EBB" w:rsidRDefault="00F410EE" w:rsidP="00F410EE">
            <w:pPr>
              <w:spacing w:after="0" w:line="240" w:lineRule="auto"/>
              <w:jc w:val="center"/>
              <w:rPr>
                <w:rFonts w:eastAsia="Times New Roman"/>
                <w:spacing w:val="0"/>
                <w:sz w:val="20"/>
                <w:szCs w:val="20"/>
              </w:rPr>
            </w:pPr>
            <w:r w:rsidRPr="00873245">
              <w:rPr>
                <w:rFonts w:eastAsia="Times New Roman"/>
                <w:spacing w:val="0"/>
              </w:rPr>
              <w:t>-20,365,040.85</w:t>
            </w:r>
          </w:p>
        </w:tc>
        <w:tc>
          <w:tcPr>
            <w:tcW w:w="1333" w:type="dxa"/>
            <w:tcBorders>
              <w:top w:val="single" w:sz="8" w:space="0" w:color="auto"/>
              <w:left w:val="nil"/>
              <w:bottom w:val="single" w:sz="8" w:space="0" w:color="auto"/>
              <w:right w:val="single" w:sz="8" w:space="0" w:color="auto"/>
            </w:tcBorders>
            <w:vAlign w:val="center"/>
            <w:hideMark/>
          </w:tcPr>
          <w:p w14:paraId="7D4C2A40" w14:textId="063BAB4F" w:rsidR="00F410EE" w:rsidRPr="00232EBB" w:rsidRDefault="00F410EE" w:rsidP="00F410EE">
            <w:pPr>
              <w:spacing w:after="0" w:line="240" w:lineRule="auto"/>
              <w:jc w:val="center"/>
              <w:rPr>
                <w:rFonts w:eastAsia="Times New Roman"/>
                <w:spacing w:val="0"/>
                <w:sz w:val="20"/>
                <w:szCs w:val="20"/>
              </w:rPr>
            </w:pPr>
            <w:r w:rsidRPr="00873245">
              <w:rPr>
                <w:rFonts w:eastAsia="Calibri"/>
                <w:noProof/>
                <w:spacing w:val="0"/>
                <w:lang w:val="es-DO"/>
              </w:rPr>
              <w:t>-1.72%</w:t>
            </w:r>
          </w:p>
        </w:tc>
      </w:tr>
    </w:tbl>
    <w:p w14:paraId="15E5740C" w14:textId="09D81781" w:rsidR="00A443C2" w:rsidRPr="00232EBB" w:rsidRDefault="00A443C2" w:rsidP="00A443C2">
      <w:pPr>
        <w:spacing w:line="360" w:lineRule="auto"/>
        <w:jc w:val="both"/>
        <w:rPr>
          <w:rFonts w:eastAsia="Calibri"/>
          <w:noProof/>
          <w:sz w:val="18"/>
          <w:szCs w:val="18"/>
          <w:lang w:val="es-ES"/>
        </w:rPr>
      </w:pPr>
      <w:r w:rsidRPr="00232EBB">
        <w:rPr>
          <w:rFonts w:eastAsia="Calibri"/>
          <w:b/>
          <w:bCs/>
          <w:noProof/>
          <w:sz w:val="18"/>
          <w:szCs w:val="18"/>
          <w:lang w:val="es-ES"/>
        </w:rPr>
        <w:t xml:space="preserve">Tabla 4: </w:t>
      </w:r>
      <w:r w:rsidRPr="00232EBB">
        <w:rPr>
          <w:rFonts w:eastAsia="Calibri"/>
          <w:noProof/>
          <w:sz w:val="18"/>
          <w:szCs w:val="18"/>
          <w:lang w:val="es-ES"/>
        </w:rPr>
        <w:t>Rendimientos generados por Inversiones del Régimen Contributivo enero-</w:t>
      </w:r>
      <w:r w:rsidR="007A6ACD" w:rsidRPr="00232EBB">
        <w:rPr>
          <w:rFonts w:eastAsia="Calibri"/>
          <w:noProof/>
          <w:sz w:val="18"/>
          <w:szCs w:val="18"/>
          <w:lang w:val="es-ES"/>
        </w:rPr>
        <w:t>dic</w:t>
      </w:r>
      <w:r w:rsidR="00544B53" w:rsidRPr="00232EBB">
        <w:rPr>
          <w:rFonts w:eastAsia="Calibri"/>
          <w:noProof/>
          <w:sz w:val="18"/>
          <w:szCs w:val="18"/>
          <w:lang w:val="es-ES"/>
        </w:rPr>
        <w:t>iem</w:t>
      </w:r>
      <w:r w:rsidRPr="00232EBB">
        <w:rPr>
          <w:rFonts w:eastAsia="Calibri"/>
          <w:noProof/>
          <w:sz w:val="18"/>
          <w:szCs w:val="18"/>
          <w:lang w:val="es-ES"/>
        </w:rPr>
        <w:t>bre 202</w:t>
      </w:r>
      <w:r w:rsidR="00FA27DA" w:rsidRPr="00232EBB">
        <w:rPr>
          <w:rFonts w:eastAsia="Calibri"/>
          <w:noProof/>
          <w:sz w:val="18"/>
          <w:szCs w:val="18"/>
          <w:lang w:val="es-ES"/>
        </w:rPr>
        <w:t>5.</w:t>
      </w:r>
    </w:p>
    <w:tbl>
      <w:tblPr>
        <w:tblW w:w="8730" w:type="dxa"/>
        <w:tblInd w:w="-460" w:type="dxa"/>
        <w:tblLook w:val="04A0" w:firstRow="1" w:lastRow="0" w:firstColumn="1" w:lastColumn="0" w:noHBand="0" w:noVBand="1"/>
      </w:tblPr>
      <w:tblGrid>
        <w:gridCol w:w="1800"/>
        <w:gridCol w:w="1816"/>
        <w:gridCol w:w="1816"/>
        <w:gridCol w:w="1696"/>
        <w:gridCol w:w="1602"/>
      </w:tblGrid>
      <w:tr w:rsidR="00F410EE" w:rsidRPr="00232EBB" w14:paraId="20473A02" w14:textId="77777777" w:rsidTr="00F410EE">
        <w:trPr>
          <w:trHeight w:val="957"/>
        </w:trPr>
        <w:tc>
          <w:tcPr>
            <w:tcW w:w="1800" w:type="dxa"/>
            <w:tcBorders>
              <w:top w:val="single" w:sz="8" w:space="0" w:color="auto"/>
              <w:left w:val="single" w:sz="8" w:space="0" w:color="auto"/>
              <w:bottom w:val="nil"/>
              <w:right w:val="single" w:sz="8" w:space="0" w:color="auto"/>
            </w:tcBorders>
            <w:shd w:val="clear" w:color="000000" w:fill="1F3864"/>
            <w:vAlign w:val="center"/>
            <w:hideMark/>
          </w:tcPr>
          <w:p w14:paraId="355ABF65" w14:textId="5EB32C41" w:rsidR="00F410EE" w:rsidRPr="00232EBB" w:rsidRDefault="00F410EE" w:rsidP="00F410EE">
            <w:pPr>
              <w:spacing w:after="0" w:line="240" w:lineRule="auto"/>
              <w:jc w:val="center"/>
              <w:rPr>
                <w:rFonts w:eastAsia="Times New Roman"/>
                <w:b/>
                <w:bCs/>
                <w:color w:val="FFFFFF"/>
                <w:spacing w:val="0"/>
                <w:sz w:val="20"/>
                <w:szCs w:val="20"/>
                <w:lang w:val="es-ES"/>
              </w:rPr>
            </w:pPr>
            <w:bookmarkStart w:id="27" w:name="_Hlk184799651"/>
            <w:r w:rsidRPr="009D16CD">
              <w:rPr>
                <w:rFonts w:eastAsia="Times New Roman"/>
                <w:b/>
                <w:bCs/>
                <w:color w:val="FFFFFF"/>
                <w:spacing w:val="0"/>
                <w:lang w:val="es-DO"/>
              </w:rPr>
              <w:t>Devolución de Aportes a Empleadores y Trabajadores</w:t>
            </w:r>
          </w:p>
        </w:tc>
        <w:tc>
          <w:tcPr>
            <w:tcW w:w="1816" w:type="dxa"/>
            <w:tcBorders>
              <w:top w:val="single" w:sz="8" w:space="0" w:color="auto"/>
              <w:left w:val="nil"/>
              <w:bottom w:val="nil"/>
              <w:right w:val="single" w:sz="8" w:space="0" w:color="auto"/>
            </w:tcBorders>
            <w:shd w:val="clear" w:color="000000" w:fill="1F3864"/>
            <w:vAlign w:val="center"/>
            <w:hideMark/>
          </w:tcPr>
          <w:p w14:paraId="756D57BC" w14:textId="427C3F99" w:rsidR="00F410EE" w:rsidRPr="00232EBB" w:rsidRDefault="00F410EE" w:rsidP="00F410EE">
            <w:pPr>
              <w:spacing w:after="0" w:line="240" w:lineRule="auto"/>
              <w:jc w:val="center"/>
              <w:rPr>
                <w:rFonts w:eastAsia="Times New Roman"/>
                <w:b/>
                <w:bCs/>
                <w:color w:val="FFFFFF"/>
                <w:spacing w:val="0"/>
                <w:sz w:val="20"/>
                <w:szCs w:val="20"/>
              </w:rPr>
            </w:pPr>
            <w:r w:rsidRPr="009D16CD">
              <w:rPr>
                <w:rFonts w:eastAsia="Times New Roman"/>
                <w:b/>
                <w:bCs/>
                <w:color w:val="FFFFFF"/>
                <w:spacing w:val="0"/>
                <w:lang w:val="es-DO"/>
              </w:rPr>
              <w:t>202</w:t>
            </w:r>
            <w:r>
              <w:rPr>
                <w:rFonts w:eastAsia="Times New Roman"/>
                <w:b/>
                <w:bCs/>
                <w:color w:val="FFFFFF"/>
                <w:spacing w:val="0"/>
                <w:lang w:val="es-DO"/>
              </w:rPr>
              <w:t>5</w:t>
            </w:r>
          </w:p>
        </w:tc>
        <w:tc>
          <w:tcPr>
            <w:tcW w:w="1816" w:type="dxa"/>
            <w:tcBorders>
              <w:top w:val="single" w:sz="8" w:space="0" w:color="auto"/>
              <w:left w:val="nil"/>
              <w:bottom w:val="nil"/>
              <w:right w:val="single" w:sz="8" w:space="0" w:color="auto"/>
            </w:tcBorders>
            <w:shd w:val="clear" w:color="000000" w:fill="1F3864"/>
            <w:vAlign w:val="center"/>
            <w:hideMark/>
          </w:tcPr>
          <w:p w14:paraId="7ECBC386" w14:textId="3580255D" w:rsidR="00F410EE" w:rsidRPr="00232EBB" w:rsidRDefault="00F410EE" w:rsidP="00F410EE">
            <w:pPr>
              <w:spacing w:after="0" w:line="240" w:lineRule="auto"/>
              <w:jc w:val="center"/>
              <w:rPr>
                <w:rFonts w:eastAsia="Times New Roman"/>
                <w:b/>
                <w:bCs/>
                <w:color w:val="FFFFFF"/>
                <w:spacing w:val="0"/>
                <w:sz w:val="20"/>
                <w:szCs w:val="20"/>
              </w:rPr>
            </w:pPr>
            <w:r w:rsidRPr="009D16CD">
              <w:rPr>
                <w:rFonts w:eastAsia="Times New Roman"/>
                <w:b/>
                <w:bCs/>
                <w:color w:val="FFFFFF"/>
                <w:spacing w:val="0"/>
                <w:lang w:val="es-DO"/>
              </w:rPr>
              <w:t>202</w:t>
            </w:r>
            <w:r>
              <w:rPr>
                <w:rFonts w:eastAsia="Times New Roman"/>
                <w:b/>
                <w:bCs/>
                <w:color w:val="FFFFFF"/>
                <w:spacing w:val="0"/>
                <w:lang w:val="es-DO"/>
              </w:rPr>
              <w:t>4</w:t>
            </w:r>
          </w:p>
        </w:tc>
        <w:tc>
          <w:tcPr>
            <w:tcW w:w="1696" w:type="dxa"/>
            <w:tcBorders>
              <w:top w:val="single" w:sz="8" w:space="0" w:color="auto"/>
              <w:left w:val="nil"/>
              <w:bottom w:val="nil"/>
              <w:right w:val="single" w:sz="8" w:space="0" w:color="auto"/>
            </w:tcBorders>
            <w:shd w:val="clear" w:color="000000" w:fill="1F3864"/>
            <w:vAlign w:val="center"/>
            <w:hideMark/>
          </w:tcPr>
          <w:p w14:paraId="6A18F22C" w14:textId="25CEFBDC" w:rsidR="00F410EE" w:rsidRPr="00232EBB" w:rsidRDefault="00F410EE" w:rsidP="00F410EE">
            <w:pPr>
              <w:spacing w:after="0" w:line="240" w:lineRule="auto"/>
              <w:jc w:val="center"/>
              <w:rPr>
                <w:rFonts w:eastAsia="Times New Roman"/>
                <w:b/>
                <w:bCs/>
                <w:color w:val="FFFFFF"/>
                <w:spacing w:val="0"/>
                <w:sz w:val="20"/>
                <w:szCs w:val="20"/>
              </w:rPr>
            </w:pPr>
            <w:r w:rsidRPr="009D16CD">
              <w:rPr>
                <w:rFonts w:eastAsia="Times New Roman"/>
                <w:b/>
                <w:bCs/>
                <w:color w:val="FFFFFF"/>
                <w:spacing w:val="0"/>
                <w:lang w:val="es-DO"/>
              </w:rPr>
              <w:t>Variación</w:t>
            </w:r>
          </w:p>
        </w:tc>
        <w:tc>
          <w:tcPr>
            <w:tcW w:w="1602" w:type="dxa"/>
            <w:tcBorders>
              <w:top w:val="single" w:sz="8" w:space="0" w:color="auto"/>
              <w:left w:val="nil"/>
              <w:bottom w:val="nil"/>
              <w:right w:val="single" w:sz="8" w:space="0" w:color="auto"/>
            </w:tcBorders>
            <w:shd w:val="clear" w:color="000000" w:fill="1F3864"/>
            <w:vAlign w:val="center"/>
            <w:hideMark/>
          </w:tcPr>
          <w:p w14:paraId="5A0F83FC" w14:textId="081213C5" w:rsidR="00F410EE" w:rsidRPr="00232EBB" w:rsidRDefault="00F410EE" w:rsidP="00F410EE">
            <w:pPr>
              <w:spacing w:after="0" w:line="240" w:lineRule="auto"/>
              <w:jc w:val="center"/>
              <w:rPr>
                <w:rFonts w:eastAsia="Times New Roman"/>
                <w:b/>
                <w:bCs/>
                <w:color w:val="FFFFFF"/>
                <w:spacing w:val="0"/>
                <w:sz w:val="20"/>
                <w:szCs w:val="20"/>
              </w:rPr>
            </w:pPr>
            <w:r w:rsidRPr="009D16CD">
              <w:rPr>
                <w:rFonts w:eastAsia="Times New Roman"/>
                <w:b/>
                <w:bCs/>
                <w:color w:val="FFFFFF"/>
                <w:spacing w:val="0"/>
                <w:lang w:val="es-DO"/>
              </w:rPr>
              <w:t>%</w:t>
            </w:r>
          </w:p>
        </w:tc>
      </w:tr>
      <w:tr w:rsidR="00F410EE" w:rsidRPr="00232EBB" w14:paraId="57DAE17F" w14:textId="77777777" w:rsidTr="00F410EE">
        <w:trPr>
          <w:trHeight w:val="349"/>
        </w:trPr>
        <w:tc>
          <w:tcPr>
            <w:tcW w:w="1800" w:type="dxa"/>
            <w:tcBorders>
              <w:top w:val="single" w:sz="8" w:space="0" w:color="auto"/>
              <w:left w:val="single" w:sz="8" w:space="0" w:color="auto"/>
              <w:bottom w:val="single" w:sz="8" w:space="0" w:color="auto"/>
              <w:right w:val="single" w:sz="8" w:space="0" w:color="auto"/>
            </w:tcBorders>
            <w:vAlign w:val="center"/>
            <w:hideMark/>
          </w:tcPr>
          <w:p w14:paraId="678921EF" w14:textId="1A8BA6BB" w:rsidR="00F410EE" w:rsidRPr="00232EBB" w:rsidRDefault="00F410EE" w:rsidP="00F410EE">
            <w:pPr>
              <w:spacing w:after="0" w:line="240" w:lineRule="auto"/>
              <w:jc w:val="center"/>
              <w:rPr>
                <w:rFonts w:eastAsia="Times New Roman"/>
                <w:spacing w:val="0"/>
                <w:sz w:val="20"/>
                <w:szCs w:val="20"/>
              </w:rPr>
            </w:pPr>
            <w:r w:rsidRPr="009D16CD">
              <w:rPr>
                <w:rFonts w:eastAsia="Calibri"/>
                <w:noProof/>
                <w:spacing w:val="0"/>
                <w:lang w:val="es-DO"/>
              </w:rPr>
              <w:t>Enero -</w:t>
            </w:r>
            <w:r>
              <w:rPr>
                <w:rFonts w:eastAsia="Calibri"/>
                <w:noProof/>
                <w:spacing w:val="0"/>
                <w:lang w:val="es-DO"/>
              </w:rPr>
              <w:t>Diciembre</w:t>
            </w:r>
          </w:p>
        </w:tc>
        <w:tc>
          <w:tcPr>
            <w:tcW w:w="1816" w:type="dxa"/>
            <w:tcBorders>
              <w:top w:val="single" w:sz="8" w:space="0" w:color="auto"/>
              <w:left w:val="nil"/>
              <w:bottom w:val="single" w:sz="8" w:space="0" w:color="auto"/>
              <w:right w:val="single" w:sz="8" w:space="0" w:color="auto"/>
            </w:tcBorders>
            <w:vAlign w:val="center"/>
            <w:hideMark/>
          </w:tcPr>
          <w:p w14:paraId="12E7CB68" w14:textId="4F157E60" w:rsidR="00F410EE" w:rsidRPr="00232EBB" w:rsidRDefault="00F410EE" w:rsidP="00F410EE">
            <w:pPr>
              <w:spacing w:after="0" w:line="240" w:lineRule="auto"/>
              <w:jc w:val="center"/>
              <w:rPr>
                <w:rFonts w:eastAsia="Times New Roman"/>
                <w:spacing w:val="0"/>
                <w:sz w:val="20"/>
                <w:szCs w:val="20"/>
              </w:rPr>
            </w:pPr>
            <w:r>
              <w:rPr>
                <w:rFonts w:eastAsia="Times New Roman"/>
                <w:spacing w:val="0"/>
              </w:rPr>
              <w:t>235,798,321.82</w:t>
            </w:r>
          </w:p>
        </w:tc>
        <w:tc>
          <w:tcPr>
            <w:tcW w:w="1816" w:type="dxa"/>
            <w:tcBorders>
              <w:top w:val="single" w:sz="8" w:space="0" w:color="auto"/>
              <w:left w:val="nil"/>
              <w:bottom w:val="single" w:sz="8" w:space="0" w:color="auto"/>
              <w:right w:val="single" w:sz="8" w:space="0" w:color="auto"/>
            </w:tcBorders>
            <w:vAlign w:val="center"/>
            <w:hideMark/>
          </w:tcPr>
          <w:p w14:paraId="617318BD" w14:textId="7A5BCFCD" w:rsidR="00F410EE" w:rsidRPr="00232EBB" w:rsidRDefault="00F410EE" w:rsidP="00F410EE">
            <w:pPr>
              <w:spacing w:after="0" w:line="240" w:lineRule="auto"/>
              <w:jc w:val="center"/>
              <w:rPr>
                <w:rFonts w:eastAsia="Times New Roman"/>
                <w:spacing w:val="0"/>
                <w:sz w:val="20"/>
                <w:szCs w:val="20"/>
              </w:rPr>
            </w:pPr>
            <w:r w:rsidRPr="006A3FDE">
              <w:rPr>
                <w:rFonts w:eastAsia="Calibri"/>
                <w:noProof/>
                <w:spacing w:val="0"/>
                <w:lang w:val="es-DO"/>
              </w:rPr>
              <w:t>211,225,307.10</w:t>
            </w:r>
          </w:p>
        </w:tc>
        <w:tc>
          <w:tcPr>
            <w:tcW w:w="1696" w:type="dxa"/>
            <w:tcBorders>
              <w:top w:val="single" w:sz="8" w:space="0" w:color="auto"/>
              <w:left w:val="nil"/>
              <w:bottom w:val="single" w:sz="8" w:space="0" w:color="auto"/>
              <w:right w:val="single" w:sz="8" w:space="0" w:color="auto"/>
            </w:tcBorders>
            <w:vAlign w:val="center"/>
            <w:hideMark/>
          </w:tcPr>
          <w:p w14:paraId="17890133" w14:textId="3F390083" w:rsidR="00F410EE" w:rsidRPr="00232EBB" w:rsidRDefault="00F410EE" w:rsidP="00F410EE">
            <w:pPr>
              <w:spacing w:after="0" w:line="240" w:lineRule="auto"/>
              <w:jc w:val="center"/>
              <w:rPr>
                <w:rFonts w:eastAsia="Times New Roman"/>
                <w:spacing w:val="0"/>
                <w:sz w:val="20"/>
                <w:szCs w:val="20"/>
              </w:rPr>
            </w:pPr>
            <w:r>
              <w:rPr>
                <w:rFonts w:eastAsia="Times New Roman"/>
                <w:spacing w:val="0"/>
              </w:rPr>
              <w:t>24,573,014.72</w:t>
            </w:r>
          </w:p>
        </w:tc>
        <w:tc>
          <w:tcPr>
            <w:tcW w:w="1602" w:type="dxa"/>
            <w:tcBorders>
              <w:top w:val="single" w:sz="8" w:space="0" w:color="auto"/>
              <w:left w:val="nil"/>
              <w:bottom w:val="single" w:sz="8" w:space="0" w:color="auto"/>
              <w:right w:val="single" w:sz="8" w:space="0" w:color="auto"/>
            </w:tcBorders>
            <w:vAlign w:val="center"/>
            <w:hideMark/>
          </w:tcPr>
          <w:p w14:paraId="7DFFC2A3" w14:textId="01ECD120" w:rsidR="00F410EE" w:rsidRPr="00232EBB" w:rsidRDefault="00F410EE" w:rsidP="00F410EE">
            <w:pPr>
              <w:spacing w:after="0" w:line="240" w:lineRule="auto"/>
              <w:jc w:val="center"/>
              <w:rPr>
                <w:rFonts w:eastAsia="Times New Roman"/>
                <w:spacing w:val="0"/>
                <w:sz w:val="20"/>
                <w:szCs w:val="20"/>
              </w:rPr>
            </w:pPr>
            <w:r>
              <w:rPr>
                <w:rFonts w:eastAsia="Calibri"/>
                <w:noProof/>
                <w:spacing w:val="0"/>
                <w:lang w:val="es-DO"/>
              </w:rPr>
              <w:t>11.63</w:t>
            </w:r>
            <w:r w:rsidRPr="006A3FDE">
              <w:rPr>
                <w:rFonts w:eastAsia="Calibri"/>
                <w:noProof/>
                <w:spacing w:val="0"/>
                <w:lang w:val="es-DO"/>
              </w:rPr>
              <w:t>%</w:t>
            </w:r>
          </w:p>
        </w:tc>
      </w:tr>
    </w:tbl>
    <w:bookmarkEnd w:id="27"/>
    <w:p w14:paraId="63E16FAF" w14:textId="22BFC068" w:rsidR="00041B32" w:rsidRPr="00232EBB" w:rsidRDefault="00041B32" w:rsidP="00041B32">
      <w:pPr>
        <w:spacing w:line="360" w:lineRule="auto"/>
        <w:jc w:val="both"/>
        <w:rPr>
          <w:rFonts w:eastAsia="Calibri"/>
          <w:noProof/>
          <w:sz w:val="18"/>
          <w:szCs w:val="18"/>
          <w:lang w:val="es-ES"/>
        </w:rPr>
      </w:pPr>
      <w:r w:rsidRPr="00232EBB">
        <w:rPr>
          <w:rFonts w:eastAsia="Calibri"/>
          <w:b/>
          <w:bCs/>
          <w:noProof/>
          <w:sz w:val="18"/>
          <w:szCs w:val="18"/>
          <w:lang w:val="es-ES"/>
        </w:rPr>
        <w:t xml:space="preserve">Tabla 5: </w:t>
      </w:r>
      <w:r w:rsidRPr="00232EBB">
        <w:rPr>
          <w:rFonts w:eastAsia="Calibri"/>
          <w:noProof/>
          <w:sz w:val="18"/>
          <w:szCs w:val="18"/>
          <w:lang w:val="es-ES"/>
        </w:rPr>
        <w:t>Devolución de aportes a empleadores y trabajadores del Régimen Contributivo enero-</w:t>
      </w:r>
      <w:r w:rsidR="007A6ACD" w:rsidRPr="00232EBB">
        <w:rPr>
          <w:rFonts w:eastAsia="Calibri"/>
          <w:noProof/>
          <w:sz w:val="18"/>
          <w:szCs w:val="18"/>
          <w:lang w:val="es-ES"/>
        </w:rPr>
        <w:t>dic</w:t>
      </w:r>
      <w:r w:rsidR="00544B53" w:rsidRPr="00232EBB">
        <w:rPr>
          <w:rFonts w:eastAsia="Calibri"/>
          <w:noProof/>
          <w:sz w:val="18"/>
          <w:szCs w:val="18"/>
          <w:lang w:val="es-ES"/>
        </w:rPr>
        <w:t>iembr</w:t>
      </w:r>
      <w:r w:rsidRPr="00232EBB">
        <w:rPr>
          <w:rFonts w:eastAsia="Calibri"/>
          <w:noProof/>
          <w:sz w:val="18"/>
          <w:szCs w:val="18"/>
          <w:lang w:val="es-ES"/>
        </w:rPr>
        <w:t>e 202</w:t>
      </w:r>
      <w:r w:rsidR="00ED0D3F" w:rsidRPr="00232EBB">
        <w:rPr>
          <w:rFonts w:eastAsia="Calibri"/>
          <w:noProof/>
          <w:sz w:val="18"/>
          <w:szCs w:val="18"/>
          <w:lang w:val="es-ES"/>
        </w:rPr>
        <w:t>5</w:t>
      </w:r>
      <w:r w:rsidRPr="00232EBB">
        <w:rPr>
          <w:rFonts w:eastAsia="Calibri"/>
          <w:noProof/>
          <w:sz w:val="18"/>
          <w:szCs w:val="18"/>
          <w:lang w:val="es-ES"/>
        </w:rPr>
        <w:t>.</w:t>
      </w:r>
    </w:p>
    <w:tbl>
      <w:tblPr>
        <w:tblW w:w="8720" w:type="dxa"/>
        <w:jc w:val="center"/>
        <w:tblLook w:val="04A0" w:firstRow="1" w:lastRow="0" w:firstColumn="1" w:lastColumn="0" w:noHBand="0" w:noVBand="1"/>
      </w:tblPr>
      <w:tblGrid>
        <w:gridCol w:w="1753"/>
        <w:gridCol w:w="1989"/>
        <w:gridCol w:w="1989"/>
        <w:gridCol w:w="1713"/>
        <w:gridCol w:w="1276"/>
      </w:tblGrid>
      <w:tr w:rsidR="00544B53" w:rsidRPr="00232EBB" w14:paraId="4122579C" w14:textId="77777777" w:rsidTr="008103DA">
        <w:trPr>
          <w:trHeight w:val="957"/>
          <w:jc w:val="center"/>
        </w:trPr>
        <w:tc>
          <w:tcPr>
            <w:tcW w:w="1753" w:type="dxa"/>
            <w:tcBorders>
              <w:top w:val="single" w:sz="8" w:space="0" w:color="auto"/>
              <w:left w:val="single" w:sz="8" w:space="0" w:color="auto"/>
              <w:bottom w:val="nil"/>
              <w:right w:val="single" w:sz="8" w:space="0" w:color="auto"/>
            </w:tcBorders>
            <w:shd w:val="clear" w:color="000000" w:fill="1F3864"/>
            <w:vAlign w:val="center"/>
            <w:hideMark/>
          </w:tcPr>
          <w:p w14:paraId="0E64E6A0" w14:textId="77777777" w:rsidR="00544B53" w:rsidRPr="00232EBB" w:rsidRDefault="00544B53" w:rsidP="00874C53">
            <w:pPr>
              <w:spacing w:after="0" w:line="240" w:lineRule="auto"/>
              <w:jc w:val="center"/>
              <w:rPr>
                <w:rFonts w:eastAsia="Times New Roman"/>
                <w:b/>
                <w:bCs/>
                <w:color w:val="FFFFFF"/>
                <w:spacing w:val="0"/>
                <w:sz w:val="20"/>
                <w:szCs w:val="20"/>
                <w:lang w:val="es-ES"/>
              </w:rPr>
            </w:pPr>
            <w:r w:rsidRPr="00232EBB">
              <w:rPr>
                <w:rFonts w:eastAsia="Times New Roman"/>
                <w:b/>
                <w:bCs/>
                <w:color w:val="FFFFFF"/>
                <w:spacing w:val="0"/>
                <w:sz w:val="20"/>
                <w:szCs w:val="20"/>
                <w:lang w:val="es-DO"/>
              </w:rPr>
              <w:t>Devolución de Aportes a Empleadores y Trabajadores</w:t>
            </w:r>
          </w:p>
        </w:tc>
        <w:tc>
          <w:tcPr>
            <w:tcW w:w="1989" w:type="dxa"/>
            <w:tcBorders>
              <w:top w:val="single" w:sz="8" w:space="0" w:color="auto"/>
              <w:left w:val="nil"/>
              <w:bottom w:val="nil"/>
              <w:right w:val="single" w:sz="8" w:space="0" w:color="auto"/>
            </w:tcBorders>
            <w:shd w:val="clear" w:color="000000" w:fill="1F3864"/>
            <w:vAlign w:val="center"/>
            <w:hideMark/>
          </w:tcPr>
          <w:p w14:paraId="4FF045CA" w14:textId="77777777" w:rsidR="00544B53" w:rsidRPr="00232EBB" w:rsidRDefault="00544B53" w:rsidP="00874C53">
            <w:pPr>
              <w:spacing w:after="0" w:line="240" w:lineRule="auto"/>
              <w:jc w:val="center"/>
              <w:rPr>
                <w:rFonts w:eastAsia="Times New Roman"/>
                <w:b/>
                <w:bCs/>
                <w:color w:val="FFFFFF"/>
                <w:spacing w:val="0"/>
                <w:sz w:val="20"/>
                <w:szCs w:val="20"/>
              </w:rPr>
            </w:pPr>
            <w:r w:rsidRPr="00232EBB">
              <w:rPr>
                <w:rFonts w:eastAsia="Times New Roman"/>
                <w:b/>
                <w:bCs/>
                <w:color w:val="FFFFFF"/>
                <w:spacing w:val="0"/>
                <w:sz w:val="20"/>
                <w:szCs w:val="20"/>
                <w:lang w:val="es-DO"/>
              </w:rPr>
              <w:t>2025</w:t>
            </w:r>
          </w:p>
        </w:tc>
        <w:tc>
          <w:tcPr>
            <w:tcW w:w="1989" w:type="dxa"/>
            <w:tcBorders>
              <w:top w:val="single" w:sz="8" w:space="0" w:color="auto"/>
              <w:left w:val="nil"/>
              <w:bottom w:val="nil"/>
              <w:right w:val="single" w:sz="8" w:space="0" w:color="auto"/>
            </w:tcBorders>
            <w:shd w:val="clear" w:color="000000" w:fill="1F3864"/>
            <w:vAlign w:val="center"/>
            <w:hideMark/>
          </w:tcPr>
          <w:p w14:paraId="4FB24307" w14:textId="77777777" w:rsidR="00544B53" w:rsidRPr="00232EBB" w:rsidRDefault="00544B53" w:rsidP="00874C53">
            <w:pPr>
              <w:spacing w:after="0" w:line="240" w:lineRule="auto"/>
              <w:jc w:val="center"/>
              <w:rPr>
                <w:rFonts w:eastAsia="Times New Roman"/>
                <w:b/>
                <w:bCs/>
                <w:color w:val="FFFFFF"/>
                <w:spacing w:val="0"/>
                <w:sz w:val="20"/>
                <w:szCs w:val="20"/>
              </w:rPr>
            </w:pPr>
            <w:r w:rsidRPr="00232EBB">
              <w:rPr>
                <w:rFonts w:eastAsia="Times New Roman"/>
                <w:b/>
                <w:bCs/>
                <w:color w:val="FFFFFF"/>
                <w:spacing w:val="0"/>
                <w:sz w:val="20"/>
                <w:szCs w:val="20"/>
                <w:lang w:val="es-DO"/>
              </w:rPr>
              <w:t>2024</w:t>
            </w:r>
          </w:p>
        </w:tc>
        <w:tc>
          <w:tcPr>
            <w:tcW w:w="1713" w:type="dxa"/>
            <w:tcBorders>
              <w:top w:val="single" w:sz="8" w:space="0" w:color="auto"/>
              <w:left w:val="nil"/>
              <w:bottom w:val="nil"/>
              <w:right w:val="single" w:sz="8" w:space="0" w:color="auto"/>
            </w:tcBorders>
            <w:shd w:val="clear" w:color="000000" w:fill="1F3864"/>
            <w:vAlign w:val="center"/>
            <w:hideMark/>
          </w:tcPr>
          <w:p w14:paraId="04C24BEC" w14:textId="77777777" w:rsidR="00544B53" w:rsidRPr="00232EBB" w:rsidRDefault="00544B53" w:rsidP="00874C53">
            <w:pPr>
              <w:spacing w:after="0" w:line="240" w:lineRule="auto"/>
              <w:jc w:val="center"/>
              <w:rPr>
                <w:rFonts w:eastAsia="Times New Roman"/>
                <w:b/>
                <w:bCs/>
                <w:color w:val="FFFFFF"/>
                <w:spacing w:val="0"/>
                <w:sz w:val="20"/>
                <w:szCs w:val="20"/>
              </w:rPr>
            </w:pPr>
            <w:r w:rsidRPr="00232EBB">
              <w:rPr>
                <w:rFonts w:eastAsia="Times New Roman"/>
                <w:b/>
                <w:bCs/>
                <w:color w:val="FFFFFF"/>
                <w:spacing w:val="0"/>
                <w:sz w:val="20"/>
                <w:szCs w:val="20"/>
                <w:lang w:val="es-DO"/>
              </w:rPr>
              <w:t>Variación</w:t>
            </w:r>
          </w:p>
        </w:tc>
        <w:tc>
          <w:tcPr>
            <w:tcW w:w="1276" w:type="dxa"/>
            <w:tcBorders>
              <w:top w:val="single" w:sz="8" w:space="0" w:color="auto"/>
              <w:left w:val="nil"/>
              <w:bottom w:val="nil"/>
              <w:right w:val="single" w:sz="8" w:space="0" w:color="auto"/>
            </w:tcBorders>
            <w:shd w:val="clear" w:color="000000" w:fill="1F3864"/>
            <w:vAlign w:val="center"/>
            <w:hideMark/>
          </w:tcPr>
          <w:p w14:paraId="2CE75130" w14:textId="77777777" w:rsidR="00544B53" w:rsidRPr="00232EBB" w:rsidRDefault="00544B53" w:rsidP="00874C53">
            <w:pPr>
              <w:spacing w:after="0" w:line="240" w:lineRule="auto"/>
              <w:jc w:val="center"/>
              <w:rPr>
                <w:rFonts w:eastAsia="Times New Roman"/>
                <w:b/>
                <w:bCs/>
                <w:color w:val="FFFFFF"/>
                <w:spacing w:val="0"/>
                <w:sz w:val="20"/>
                <w:szCs w:val="20"/>
              </w:rPr>
            </w:pPr>
            <w:r w:rsidRPr="00232EBB">
              <w:rPr>
                <w:rFonts w:eastAsia="Times New Roman"/>
                <w:b/>
                <w:bCs/>
                <w:color w:val="FFFFFF"/>
                <w:spacing w:val="0"/>
                <w:sz w:val="20"/>
                <w:szCs w:val="20"/>
                <w:lang w:val="es-DO"/>
              </w:rPr>
              <w:t>%</w:t>
            </w:r>
          </w:p>
        </w:tc>
      </w:tr>
      <w:tr w:rsidR="007A6ACD" w:rsidRPr="00232EBB" w14:paraId="7B7633D5" w14:textId="77777777" w:rsidTr="00A36F11">
        <w:trPr>
          <w:trHeight w:val="349"/>
          <w:jc w:val="center"/>
        </w:trPr>
        <w:tc>
          <w:tcPr>
            <w:tcW w:w="1753" w:type="dxa"/>
            <w:tcBorders>
              <w:top w:val="single" w:sz="8" w:space="0" w:color="auto"/>
              <w:left w:val="single" w:sz="8" w:space="0" w:color="auto"/>
              <w:bottom w:val="single" w:sz="8" w:space="0" w:color="auto"/>
              <w:right w:val="single" w:sz="8" w:space="0" w:color="auto"/>
            </w:tcBorders>
            <w:vAlign w:val="center"/>
            <w:hideMark/>
          </w:tcPr>
          <w:p w14:paraId="5D87C5D9" w14:textId="5998FA9E" w:rsidR="007A6ACD" w:rsidRPr="00232EBB" w:rsidRDefault="007A6ACD" w:rsidP="007A6ACD">
            <w:pPr>
              <w:spacing w:after="0" w:line="240" w:lineRule="auto"/>
              <w:jc w:val="center"/>
              <w:rPr>
                <w:rFonts w:eastAsia="Times New Roman"/>
                <w:spacing w:val="0"/>
                <w:sz w:val="20"/>
                <w:szCs w:val="20"/>
              </w:rPr>
            </w:pPr>
            <w:r w:rsidRPr="00232EBB">
              <w:rPr>
                <w:rFonts w:eastAsia="Calibri"/>
                <w:noProof/>
                <w:spacing w:val="0"/>
                <w:sz w:val="20"/>
                <w:szCs w:val="20"/>
                <w:lang w:val="es-DO"/>
              </w:rPr>
              <w:t>Enero - Diciembre</w:t>
            </w:r>
          </w:p>
        </w:tc>
        <w:tc>
          <w:tcPr>
            <w:tcW w:w="1989" w:type="dxa"/>
            <w:tcBorders>
              <w:top w:val="single" w:sz="8" w:space="0" w:color="auto"/>
              <w:left w:val="nil"/>
              <w:bottom w:val="single" w:sz="8" w:space="0" w:color="auto"/>
              <w:right w:val="single" w:sz="8" w:space="0" w:color="auto"/>
            </w:tcBorders>
            <w:vAlign w:val="center"/>
            <w:hideMark/>
          </w:tcPr>
          <w:p w14:paraId="3CBE0F4B" w14:textId="6F4232C3" w:rsidR="007A6ACD" w:rsidRPr="00232EBB" w:rsidRDefault="007A6ACD" w:rsidP="00A36F11">
            <w:pPr>
              <w:spacing w:after="0" w:line="240" w:lineRule="auto"/>
              <w:jc w:val="center"/>
              <w:rPr>
                <w:rFonts w:eastAsia="Times New Roman"/>
                <w:spacing w:val="0"/>
                <w:sz w:val="20"/>
                <w:szCs w:val="20"/>
              </w:rPr>
            </w:pPr>
            <w:r w:rsidRPr="00232EBB">
              <w:rPr>
                <w:sz w:val="20"/>
                <w:szCs w:val="20"/>
              </w:rPr>
              <w:t>125,196.84</w:t>
            </w:r>
          </w:p>
        </w:tc>
        <w:tc>
          <w:tcPr>
            <w:tcW w:w="1989" w:type="dxa"/>
            <w:tcBorders>
              <w:top w:val="single" w:sz="8" w:space="0" w:color="auto"/>
              <w:left w:val="nil"/>
              <w:bottom w:val="single" w:sz="8" w:space="0" w:color="auto"/>
              <w:right w:val="single" w:sz="8" w:space="0" w:color="auto"/>
            </w:tcBorders>
            <w:vAlign w:val="center"/>
            <w:hideMark/>
          </w:tcPr>
          <w:p w14:paraId="625D7494" w14:textId="59A2454B" w:rsidR="007A6ACD" w:rsidRPr="00232EBB" w:rsidRDefault="007A6ACD" w:rsidP="00A36F11">
            <w:pPr>
              <w:spacing w:after="0" w:line="240" w:lineRule="auto"/>
              <w:jc w:val="center"/>
              <w:rPr>
                <w:rFonts w:eastAsia="Times New Roman"/>
                <w:spacing w:val="0"/>
                <w:sz w:val="20"/>
                <w:szCs w:val="20"/>
              </w:rPr>
            </w:pPr>
            <w:r w:rsidRPr="00232EBB">
              <w:rPr>
                <w:sz w:val="20"/>
                <w:szCs w:val="20"/>
              </w:rPr>
              <w:t>3,009,362.77</w:t>
            </w:r>
          </w:p>
        </w:tc>
        <w:tc>
          <w:tcPr>
            <w:tcW w:w="1713" w:type="dxa"/>
            <w:tcBorders>
              <w:top w:val="single" w:sz="8" w:space="0" w:color="auto"/>
              <w:left w:val="nil"/>
              <w:bottom w:val="single" w:sz="8" w:space="0" w:color="auto"/>
              <w:right w:val="single" w:sz="8" w:space="0" w:color="auto"/>
            </w:tcBorders>
            <w:vAlign w:val="center"/>
            <w:hideMark/>
          </w:tcPr>
          <w:p w14:paraId="364E44C8" w14:textId="41494229" w:rsidR="007A6ACD" w:rsidRPr="00232EBB" w:rsidRDefault="007A6ACD" w:rsidP="00A36F11">
            <w:pPr>
              <w:spacing w:after="0" w:line="240" w:lineRule="auto"/>
              <w:jc w:val="center"/>
              <w:rPr>
                <w:rFonts w:eastAsia="Times New Roman"/>
                <w:spacing w:val="0"/>
                <w:sz w:val="20"/>
                <w:szCs w:val="20"/>
              </w:rPr>
            </w:pPr>
            <w:r w:rsidRPr="00232EBB">
              <w:rPr>
                <w:sz w:val="20"/>
                <w:szCs w:val="20"/>
              </w:rPr>
              <w:t>-2,884,165.93</w:t>
            </w:r>
          </w:p>
        </w:tc>
        <w:tc>
          <w:tcPr>
            <w:tcW w:w="1276" w:type="dxa"/>
            <w:tcBorders>
              <w:top w:val="single" w:sz="8" w:space="0" w:color="auto"/>
              <w:left w:val="nil"/>
              <w:bottom w:val="single" w:sz="8" w:space="0" w:color="auto"/>
              <w:right w:val="single" w:sz="8" w:space="0" w:color="auto"/>
            </w:tcBorders>
            <w:vAlign w:val="center"/>
            <w:hideMark/>
          </w:tcPr>
          <w:p w14:paraId="73B17F86" w14:textId="56F9CC58" w:rsidR="007A6ACD" w:rsidRPr="00232EBB" w:rsidRDefault="007A6ACD" w:rsidP="00A36F11">
            <w:pPr>
              <w:spacing w:after="0" w:line="240" w:lineRule="auto"/>
              <w:jc w:val="center"/>
              <w:rPr>
                <w:rFonts w:eastAsia="Times New Roman"/>
                <w:spacing w:val="0"/>
                <w:sz w:val="20"/>
                <w:szCs w:val="20"/>
              </w:rPr>
            </w:pPr>
            <w:r w:rsidRPr="00232EBB">
              <w:rPr>
                <w:sz w:val="20"/>
                <w:szCs w:val="20"/>
              </w:rPr>
              <w:t>-95.84%</w:t>
            </w:r>
          </w:p>
        </w:tc>
      </w:tr>
    </w:tbl>
    <w:p w14:paraId="1037AB08" w14:textId="56751239" w:rsidR="00544B53" w:rsidRPr="00232EBB" w:rsidRDefault="00544B53" w:rsidP="00544B53">
      <w:pPr>
        <w:spacing w:line="360" w:lineRule="auto"/>
        <w:jc w:val="both"/>
        <w:rPr>
          <w:rFonts w:eastAsia="Calibri"/>
          <w:noProof/>
          <w:sz w:val="18"/>
          <w:szCs w:val="18"/>
          <w:lang w:val="es-ES"/>
        </w:rPr>
      </w:pPr>
      <w:r w:rsidRPr="00232EBB">
        <w:rPr>
          <w:rFonts w:eastAsia="Calibri"/>
          <w:b/>
          <w:bCs/>
          <w:noProof/>
          <w:sz w:val="18"/>
          <w:szCs w:val="18"/>
          <w:lang w:val="es-ES"/>
        </w:rPr>
        <w:t xml:space="preserve">Tabla 6: </w:t>
      </w:r>
      <w:r w:rsidRPr="00232EBB">
        <w:rPr>
          <w:rFonts w:eastAsia="Calibri"/>
          <w:noProof/>
          <w:sz w:val="18"/>
          <w:szCs w:val="18"/>
          <w:lang w:val="es-ES"/>
        </w:rPr>
        <w:t>Devolución por pagos en exceso a las AFP enero</w:t>
      </w:r>
      <w:r w:rsidR="007A6ACD" w:rsidRPr="00232EBB">
        <w:rPr>
          <w:rFonts w:eastAsia="Calibri"/>
          <w:noProof/>
          <w:sz w:val="18"/>
          <w:szCs w:val="18"/>
          <w:lang w:val="es-ES"/>
        </w:rPr>
        <w:t>-diciembre</w:t>
      </w:r>
      <w:r w:rsidRPr="00232EBB">
        <w:rPr>
          <w:rFonts w:eastAsia="Calibri"/>
          <w:noProof/>
          <w:sz w:val="18"/>
          <w:szCs w:val="18"/>
          <w:lang w:val="es-ES"/>
        </w:rPr>
        <w:t xml:space="preserve"> 2025.</w:t>
      </w:r>
    </w:p>
    <w:p w14:paraId="19C831C6" w14:textId="77777777" w:rsidR="00041B32" w:rsidRPr="00232EBB" w:rsidRDefault="00041B32" w:rsidP="00041B32">
      <w:pPr>
        <w:spacing w:line="360" w:lineRule="auto"/>
        <w:jc w:val="both"/>
        <w:rPr>
          <w:rFonts w:eastAsia="Calibri"/>
          <w:noProof/>
          <w:lang w:val="es-DO"/>
        </w:rPr>
      </w:pPr>
      <w:r w:rsidRPr="00232EBB">
        <w:rPr>
          <w:rFonts w:eastAsia="Calibri"/>
          <w:noProof/>
          <w:lang w:val="es-DO"/>
        </w:rPr>
        <w:lastRenderedPageBreak/>
        <w:t>Los Aportes de los Planes Especiales Transitorios de Servicios de Salud Pensionados y Jubilados:</w:t>
      </w:r>
    </w:p>
    <w:tbl>
      <w:tblPr>
        <w:tblW w:w="8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216"/>
        <w:gridCol w:w="1936"/>
        <w:gridCol w:w="1936"/>
        <w:gridCol w:w="1936"/>
        <w:gridCol w:w="953"/>
      </w:tblGrid>
      <w:tr w:rsidR="00041B32" w:rsidRPr="00232EBB" w14:paraId="364DD8E1" w14:textId="77777777" w:rsidTr="00EE021A">
        <w:trPr>
          <w:trHeight w:val="609"/>
          <w:tblHeader/>
          <w:jc w:val="center"/>
        </w:trPr>
        <w:tc>
          <w:tcPr>
            <w:tcW w:w="1161" w:type="dxa"/>
            <w:vMerge w:val="restart"/>
            <w:shd w:val="clear" w:color="000000" w:fill="1F3864"/>
            <w:vAlign w:val="center"/>
            <w:hideMark/>
          </w:tcPr>
          <w:p w14:paraId="2B9A6820" w14:textId="75FFBDFE" w:rsidR="00041B32" w:rsidRPr="00232EBB" w:rsidRDefault="00041B32">
            <w:pPr>
              <w:spacing w:after="0" w:line="240" w:lineRule="auto"/>
              <w:jc w:val="center"/>
              <w:rPr>
                <w:rFonts w:eastAsia="Times New Roman"/>
                <w:b/>
                <w:bCs/>
                <w:color w:val="FFFFFF"/>
                <w:spacing w:val="0"/>
                <w:sz w:val="20"/>
                <w:szCs w:val="20"/>
              </w:rPr>
            </w:pPr>
            <w:r w:rsidRPr="00232EBB">
              <w:rPr>
                <w:rFonts w:eastAsia="Times New Roman"/>
                <w:b/>
                <w:bCs/>
                <w:color w:val="FFFFFF"/>
                <w:spacing w:val="0"/>
                <w:sz w:val="20"/>
                <w:szCs w:val="20"/>
              </w:rPr>
              <w:t>Enero -</w:t>
            </w:r>
            <w:r w:rsidR="00EE021A" w:rsidRPr="00232EBB">
              <w:rPr>
                <w:rFonts w:eastAsia="Times New Roman"/>
                <w:b/>
                <w:bCs/>
                <w:color w:val="FFFFFF"/>
                <w:spacing w:val="0"/>
                <w:sz w:val="20"/>
                <w:szCs w:val="20"/>
              </w:rPr>
              <w:t>Dic</w:t>
            </w:r>
            <w:r w:rsidR="00413FED" w:rsidRPr="00232EBB">
              <w:rPr>
                <w:rFonts w:eastAsia="Times New Roman"/>
                <w:b/>
                <w:bCs/>
                <w:color w:val="FFFFFF"/>
                <w:spacing w:val="0"/>
                <w:sz w:val="20"/>
                <w:szCs w:val="20"/>
              </w:rPr>
              <w:t>iembre</w:t>
            </w:r>
          </w:p>
        </w:tc>
        <w:tc>
          <w:tcPr>
            <w:tcW w:w="1216" w:type="dxa"/>
            <w:shd w:val="clear" w:color="000000" w:fill="1F3864"/>
            <w:vAlign w:val="center"/>
            <w:hideMark/>
          </w:tcPr>
          <w:p w14:paraId="5D996A64" w14:textId="77777777" w:rsidR="00041B32" w:rsidRPr="00232EBB" w:rsidRDefault="00041B32">
            <w:pPr>
              <w:spacing w:after="0" w:line="240" w:lineRule="auto"/>
              <w:jc w:val="center"/>
              <w:rPr>
                <w:rFonts w:eastAsia="Times New Roman"/>
                <w:b/>
                <w:bCs/>
                <w:color w:val="FFFFFF"/>
                <w:spacing w:val="0"/>
                <w:sz w:val="20"/>
                <w:szCs w:val="20"/>
              </w:rPr>
            </w:pPr>
            <w:r w:rsidRPr="00232EBB">
              <w:rPr>
                <w:rFonts w:eastAsia="Times New Roman"/>
                <w:b/>
                <w:bCs/>
                <w:color w:val="FFFFFF"/>
                <w:spacing w:val="0"/>
                <w:sz w:val="20"/>
                <w:szCs w:val="20"/>
                <w:lang w:val="es-DO"/>
              </w:rPr>
              <w:t>Detalles</w:t>
            </w:r>
          </w:p>
        </w:tc>
        <w:tc>
          <w:tcPr>
            <w:tcW w:w="1936" w:type="dxa"/>
            <w:shd w:val="clear" w:color="000000" w:fill="1F3864"/>
            <w:vAlign w:val="center"/>
            <w:hideMark/>
          </w:tcPr>
          <w:p w14:paraId="61936534" w14:textId="05FC1B2C" w:rsidR="00041B32" w:rsidRPr="00232EBB" w:rsidRDefault="00041B32">
            <w:pPr>
              <w:spacing w:after="0" w:line="240" w:lineRule="auto"/>
              <w:jc w:val="center"/>
              <w:rPr>
                <w:rFonts w:eastAsia="Times New Roman"/>
                <w:b/>
                <w:bCs/>
                <w:color w:val="FFFFFF"/>
                <w:spacing w:val="0"/>
                <w:sz w:val="20"/>
                <w:szCs w:val="20"/>
              </w:rPr>
            </w:pPr>
            <w:r w:rsidRPr="00232EBB">
              <w:rPr>
                <w:rFonts w:eastAsia="Times New Roman"/>
                <w:b/>
                <w:bCs/>
                <w:color w:val="FFFFFF"/>
                <w:spacing w:val="0"/>
                <w:sz w:val="20"/>
                <w:szCs w:val="20"/>
                <w:lang w:val="es-DO"/>
              </w:rPr>
              <w:t>202</w:t>
            </w:r>
            <w:r w:rsidR="00413FED" w:rsidRPr="00232EBB">
              <w:rPr>
                <w:rFonts w:eastAsia="Times New Roman"/>
                <w:b/>
                <w:bCs/>
                <w:color w:val="FFFFFF"/>
                <w:spacing w:val="0"/>
                <w:sz w:val="20"/>
                <w:szCs w:val="20"/>
                <w:lang w:val="es-DO"/>
              </w:rPr>
              <w:t>5</w:t>
            </w:r>
          </w:p>
        </w:tc>
        <w:tc>
          <w:tcPr>
            <w:tcW w:w="1936" w:type="dxa"/>
            <w:shd w:val="clear" w:color="000000" w:fill="1F3864"/>
            <w:vAlign w:val="center"/>
            <w:hideMark/>
          </w:tcPr>
          <w:p w14:paraId="6E9E64CA" w14:textId="47C97F87" w:rsidR="00041B32" w:rsidRPr="00232EBB" w:rsidRDefault="00041B32">
            <w:pPr>
              <w:spacing w:after="0" w:line="240" w:lineRule="auto"/>
              <w:jc w:val="center"/>
              <w:rPr>
                <w:rFonts w:eastAsia="Times New Roman"/>
                <w:b/>
                <w:bCs/>
                <w:color w:val="FFFFFF"/>
                <w:spacing w:val="0"/>
                <w:sz w:val="20"/>
                <w:szCs w:val="20"/>
              </w:rPr>
            </w:pPr>
            <w:r w:rsidRPr="00232EBB">
              <w:rPr>
                <w:rFonts w:eastAsia="Times New Roman"/>
                <w:b/>
                <w:bCs/>
                <w:color w:val="FFFFFF"/>
                <w:spacing w:val="0"/>
                <w:sz w:val="20"/>
                <w:szCs w:val="20"/>
                <w:lang w:val="es-DO"/>
              </w:rPr>
              <w:t>202</w:t>
            </w:r>
            <w:r w:rsidR="00413FED" w:rsidRPr="00232EBB">
              <w:rPr>
                <w:rFonts w:eastAsia="Times New Roman"/>
                <w:b/>
                <w:bCs/>
                <w:color w:val="FFFFFF"/>
                <w:spacing w:val="0"/>
                <w:sz w:val="20"/>
                <w:szCs w:val="20"/>
                <w:lang w:val="es-DO"/>
              </w:rPr>
              <w:t>4</w:t>
            </w:r>
          </w:p>
        </w:tc>
        <w:tc>
          <w:tcPr>
            <w:tcW w:w="1746" w:type="dxa"/>
            <w:shd w:val="clear" w:color="000000" w:fill="1F3864"/>
            <w:vAlign w:val="center"/>
            <w:hideMark/>
          </w:tcPr>
          <w:p w14:paraId="4D8D7E9C" w14:textId="77777777" w:rsidR="00041B32" w:rsidRPr="00232EBB" w:rsidRDefault="00041B32">
            <w:pPr>
              <w:spacing w:after="0" w:line="240" w:lineRule="auto"/>
              <w:jc w:val="center"/>
              <w:rPr>
                <w:rFonts w:eastAsia="Times New Roman"/>
                <w:b/>
                <w:bCs/>
                <w:color w:val="FFFFFF"/>
                <w:spacing w:val="0"/>
                <w:sz w:val="20"/>
                <w:szCs w:val="20"/>
              </w:rPr>
            </w:pPr>
            <w:r w:rsidRPr="00232EBB">
              <w:rPr>
                <w:rFonts w:eastAsia="Times New Roman"/>
                <w:b/>
                <w:bCs/>
                <w:color w:val="FFFFFF"/>
                <w:spacing w:val="0"/>
                <w:sz w:val="20"/>
                <w:szCs w:val="20"/>
                <w:lang w:val="es-DO"/>
              </w:rPr>
              <w:t>Variación</w:t>
            </w:r>
          </w:p>
        </w:tc>
        <w:tc>
          <w:tcPr>
            <w:tcW w:w="953" w:type="dxa"/>
            <w:shd w:val="clear" w:color="000000" w:fill="1F3864"/>
            <w:vAlign w:val="center"/>
            <w:hideMark/>
          </w:tcPr>
          <w:p w14:paraId="483F0FCC" w14:textId="77777777" w:rsidR="00041B32" w:rsidRPr="00232EBB" w:rsidRDefault="00041B32">
            <w:pPr>
              <w:spacing w:after="0" w:line="240" w:lineRule="auto"/>
              <w:jc w:val="center"/>
              <w:rPr>
                <w:rFonts w:eastAsia="Times New Roman"/>
                <w:b/>
                <w:bCs/>
                <w:color w:val="FFFFFF"/>
                <w:spacing w:val="0"/>
                <w:sz w:val="20"/>
                <w:szCs w:val="20"/>
              </w:rPr>
            </w:pPr>
            <w:r w:rsidRPr="00232EBB">
              <w:rPr>
                <w:rFonts w:eastAsia="Times New Roman"/>
                <w:b/>
                <w:bCs/>
                <w:color w:val="FFFFFF"/>
                <w:spacing w:val="0"/>
                <w:sz w:val="20"/>
                <w:szCs w:val="20"/>
                <w:lang w:val="es-DO"/>
              </w:rPr>
              <w:t>%</w:t>
            </w:r>
          </w:p>
        </w:tc>
      </w:tr>
      <w:tr w:rsidR="00EE021A" w:rsidRPr="00232EBB" w14:paraId="7AAABD91" w14:textId="77777777" w:rsidTr="00A36F11">
        <w:trPr>
          <w:trHeight w:val="496"/>
          <w:tblHeader/>
          <w:jc w:val="center"/>
        </w:trPr>
        <w:tc>
          <w:tcPr>
            <w:tcW w:w="1161" w:type="dxa"/>
            <w:vMerge/>
            <w:vAlign w:val="center"/>
            <w:hideMark/>
          </w:tcPr>
          <w:p w14:paraId="63860C6C" w14:textId="77777777" w:rsidR="00EE021A" w:rsidRPr="00232EBB" w:rsidRDefault="00EE021A" w:rsidP="00EE021A">
            <w:pPr>
              <w:spacing w:after="0" w:line="240" w:lineRule="auto"/>
              <w:rPr>
                <w:rFonts w:eastAsia="Times New Roman"/>
                <w:b/>
                <w:bCs/>
                <w:color w:val="FFFFFF"/>
                <w:spacing w:val="0"/>
                <w:sz w:val="20"/>
                <w:szCs w:val="20"/>
              </w:rPr>
            </w:pPr>
          </w:p>
        </w:tc>
        <w:tc>
          <w:tcPr>
            <w:tcW w:w="1216" w:type="dxa"/>
            <w:vAlign w:val="center"/>
            <w:hideMark/>
          </w:tcPr>
          <w:p w14:paraId="28977F86" w14:textId="77777777" w:rsidR="00EE021A" w:rsidRPr="00232EBB" w:rsidRDefault="00EE021A" w:rsidP="00EE021A">
            <w:pPr>
              <w:spacing w:after="0" w:line="240" w:lineRule="auto"/>
              <w:jc w:val="center"/>
              <w:rPr>
                <w:rFonts w:eastAsia="Calibri"/>
                <w:noProof/>
                <w:spacing w:val="0"/>
                <w:sz w:val="20"/>
                <w:szCs w:val="20"/>
                <w:lang w:val="es-DO"/>
              </w:rPr>
            </w:pPr>
            <w:r w:rsidRPr="00232EBB">
              <w:rPr>
                <w:rFonts w:eastAsia="Calibri"/>
                <w:noProof/>
                <w:spacing w:val="0"/>
                <w:sz w:val="20"/>
                <w:szCs w:val="20"/>
                <w:lang w:val="es-DO"/>
              </w:rPr>
              <w:t>Pensionados y Jubilados FFAA</w:t>
            </w:r>
          </w:p>
        </w:tc>
        <w:tc>
          <w:tcPr>
            <w:tcW w:w="1936" w:type="dxa"/>
            <w:vAlign w:val="center"/>
          </w:tcPr>
          <w:p w14:paraId="57040DEC" w14:textId="11D41678" w:rsidR="00EE021A" w:rsidRPr="00232EBB" w:rsidRDefault="00EE021A" w:rsidP="00A36F11">
            <w:pPr>
              <w:spacing w:after="0" w:line="240" w:lineRule="auto"/>
              <w:jc w:val="center"/>
              <w:rPr>
                <w:rFonts w:eastAsia="Calibri"/>
                <w:noProof/>
                <w:spacing w:val="0"/>
                <w:sz w:val="20"/>
                <w:szCs w:val="20"/>
                <w:lang w:val="es-DO"/>
              </w:rPr>
            </w:pPr>
            <w:r w:rsidRPr="00232EBB">
              <w:rPr>
                <w:sz w:val="20"/>
                <w:szCs w:val="20"/>
              </w:rPr>
              <w:t>796,151,304.00</w:t>
            </w:r>
          </w:p>
        </w:tc>
        <w:tc>
          <w:tcPr>
            <w:tcW w:w="1936" w:type="dxa"/>
            <w:vAlign w:val="center"/>
          </w:tcPr>
          <w:p w14:paraId="5196F332" w14:textId="036DA0A2" w:rsidR="00EE021A" w:rsidRPr="00232EBB" w:rsidRDefault="00EE021A" w:rsidP="00A36F11">
            <w:pPr>
              <w:spacing w:after="0" w:line="240" w:lineRule="auto"/>
              <w:jc w:val="center"/>
              <w:rPr>
                <w:rFonts w:eastAsia="Calibri"/>
                <w:noProof/>
                <w:spacing w:val="0"/>
                <w:sz w:val="20"/>
                <w:szCs w:val="20"/>
                <w:lang w:val="es-DO"/>
              </w:rPr>
            </w:pPr>
            <w:r w:rsidRPr="00232EBB">
              <w:rPr>
                <w:sz w:val="20"/>
                <w:szCs w:val="20"/>
              </w:rPr>
              <w:t>546,703,892.57</w:t>
            </w:r>
          </w:p>
        </w:tc>
        <w:tc>
          <w:tcPr>
            <w:tcW w:w="1746" w:type="dxa"/>
            <w:vAlign w:val="center"/>
          </w:tcPr>
          <w:p w14:paraId="26FCA48D" w14:textId="7643E9C3" w:rsidR="00EE021A" w:rsidRPr="00232EBB" w:rsidRDefault="00EE021A" w:rsidP="00A36F11">
            <w:pPr>
              <w:spacing w:after="0" w:line="240" w:lineRule="auto"/>
              <w:jc w:val="center"/>
              <w:rPr>
                <w:rFonts w:eastAsia="Calibri"/>
                <w:noProof/>
                <w:spacing w:val="0"/>
                <w:sz w:val="20"/>
                <w:szCs w:val="20"/>
                <w:lang w:val="es-DO"/>
              </w:rPr>
            </w:pPr>
            <w:r w:rsidRPr="00232EBB">
              <w:rPr>
                <w:sz w:val="20"/>
                <w:szCs w:val="20"/>
              </w:rPr>
              <w:t>249,447,411.43</w:t>
            </w:r>
          </w:p>
        </w:tc>
        <w:tc>
          <w:tcPr>
            <w:tcW w:w="953" w:type="dxa"/>
            <w:vAlign w:val="center"/>
          </w:tcPr>
          <w:p w14:paraId="45417177" w14:textId="0F6F28FF" w:rsidR="00EE021A" w:rsidRPr="00232EBB" w:rsidRDefault="00EE021A" w:rsidP="00A36F11">
            <w:pPr>
              <w:spacing w:after="0" w:line="240" w:lineRule="auto"/>
              <w:jc w:val="center"/>
              <w:rPr>
                <w:rFonts w:eastAsia="Calibri"/>
                <w:noProof/>
                <w:spacing w:val="0"/>
                <w:sz w:val="20"/>
                <w:szCs w:val="20"/>
                <w:lang w:val="es-DO"/>
              </w:rPr>
            </w:pPr>
            <w:r w:rsidRPr="00232EBB">
              <w:rPr>
                <w:sz w:val="20"/>
                <w:szCs w:val="20"/>
              </w:rPr>
              <w:t>45.63%</w:t>
            </w:r>
          </w:p>
        </w:tc>
      </w:tr>
      <w:tr w:rsidR="00EE021A" w:rsidRPr="00232EBB" w14:paraId="6AD1AF9B" w14:textId="77777777" w:rsidTr="00A36F11">
        <w:trPr>
          <w:trHeight w:val="496"/>
          <w:tblHeader/>
          <w:jc w:val="center"/>
        </w:trPr>
        <w:tc>
          <w:tcPr>
            <w:tcW w:w="1161" w:type="dxa"/>
            <w:vMerge/>
            <w:vAlign w:val="center"/>
            <w:hideMark/>
          </w:tcPr>
          <w:p w14:paraId="03374DA1" w14:textId="77777777" w:rsidR="00EE021A" w:rsidRPr="00232EBB" w:rsidRDefault="00EE021A" w:rsidP="00EE021A">
            <w:pPr>
              <w:spacing w:after="0" w:line="240" w:lineRule="auto"/>
              <w:rPr>
                <w:rFonts w:eastAsia="Times New Roman"/>
                <w:b/>
                <w:bCs/>
                <w:color w:val="FFFFFF"/>
                <w:spacing w:val="0"/>
                <w:sz w:val="20"/>
                <w:szCs w:val="20"/>
              </w:rPr>
            </w:pPr>
          </w:p>
        </w:tc>
        <w:tc>
          <w:tcPr>
            <w:tcW w:w="1216" w:type="dxa"/>
            <w:vAlign w:val="center"/>
            <w:hideMark/>
          </w:tcPr>
          <w:p w14:paraId="7BA9C6F7" w14:textId="77777777" w:rsidR="00EE021A" w:rsidRPr="00232EBB" w:rsidRDefault="00EE021A" w:rsidP="00EE021A">
            <w:pPr>
              <w:spacing w:after="0" w:line="240" w:lineRule="auto"/>
              <w:jc w:val="center"/>
              <w:rPr>
                <w:rFonts w:eastAsia="Calibri"/>
                <w:noProof/>
                <w:spacing w:val="0"/>
                <w:sz w:val="20"/>
                <w:szCs w:val="20"/>
                <w:lang w:val="es-DO"/>
              </w:rPr>
            </w:pPr>
            <w:r w:rsidRPr="00232EBB">
              <w:rPr>
                <w:rFonts w:eastAsia="Calibri"/>
                <w:noProof/>
                <w:spacing w:val="0"/>
                <w:sz w:val="20"/>
                <w:szCs w:val="20"/>
                <w:lang w:val="es-DO"/>
              </w:rPr>
              <w:t>Pensionados y Jubilados Sector Salud</w:t>
            </w:r>
          </w:p>
        </w:tc>
        <w:tc>
          <w:tcPr>
            <w:tcW w:w="1936" w:type="dxa"/>
            <w:vAlign w:val="center"/>
            <w:hideMark/>
          </w:tcPr>
          <w:p w14:paraId="3B42FBC0" w14:textId="11F535E4" w:rsidR="00EE021A" w:rsidRPr="00232EBB" w:rsidRDefault="00EE021A" w:rsidP="00A36F11">
            <w:pPr>
              <w:spacing w:after="0" w:line="240" w:lineRule="auto"/>
              <w:jc w:val="center"/>
              <w:rPr>
                <w:rFonts w:eastAsia="Calibri"/>
                <w:noProof/>
                <w:spacing w:val="0"/>
                <w:sz w:val="20"/>
                <w:szCs w:val="20"/>
                <w:lang w:val="es-DO"/>
              </w:rPr>
            </w:pPr>
            <w:r w:rsidRPr="00232EBB">
              <w:rPr>
                <w:sz w:val="20"/>
                <w:szCs w:val="20"/>
              </w:rPr>
              <w:t>254,784,167.63</w:t>
            </w:r>
          </w:p>
        </w:tc>
        <w:tc>
          <w:tcPr>
            <w:tcW w:w="1936" w:type="dxa"/>
            <w:vAlign w:val="center"/>
          </w:tcPr>
          <w:p w14:paraId="13C0D5A3" w14:textId="1EF10B88" w:rsidR="00EE021A" w:rsidRPr="00232EBB" w:rsidRDefault="00EE021A" w:rsidP="00A36F11">
            <w:pPr>
              <w:spacing w:after="0" w:line="240" w:lineRule="auto"/>
              <w:jc w:val="center"/>
              <w:rPr>
                <w:rFonts w:eastAsia="Calibri"/>
                <w:noProof/>
                <w:spacing w:val="0"/>
                <w:sz w:val="20"/>
                <w:szCs w:val="20"/>
                <w:lang w:val="es-DO"/>
              </w:rPr>
            </w:pPr>
            <w:r w:rsidRPr="00232EBB">
              <w:rPr>
                <w:sz w:val="20"/>
                <w:szCs w:val="20"/>
              </w:rPr>
              <w:t>148,173,747.90</w:t>
            </w:r>
          </w:p>
        </w:tc>
        <w:tc>
          <w:tcPr>
            <w:tcW w:w="1746" w:type="dxa"/>
            <w:vAlign w:val="center"/>
          </w:tcPr>
          <w:p w14:paraId="67D07C5E" w14:textId="594B8011" w:rsidR="00EE021A" w:rsidRPr="00232EBB" w:rsidRDefault="00EE021A" w:rsidP="00A36F11">
            <w:pPr>
              <w:spacing w:after="0" w:line="240" w:lineRule="auto"/>
              <w:jc w:val="center"/>
              <w:rPr>
                <w:rFonts w:eastAsia="Calibri"/>
                <w:noProof/>
                <w:spacing w:val="0"/>
                <w:sz w:val="20"/>
                <w:szCs w:val="20"/>
                <w:lang w:val="es-DO"/>
              </w:rPr>
            </w:pPr>
            <w:r w:rsidRPr="00232EBB">
              <w:rPr>
                <w:sz w:val="20"/>
                <w:szCs w:val="20"/>
              </w:rPr>
              <w:t>106,610,419.73</w:t>
            </w:r>
          </w:p>
        </w:tc>
        <w:tc>
          <w:tcPr>
            <w:tcW w:w="953" w:type="dxa"/>
            <w:vAlign w:val="center"/>
          </w:tcPr>
          <w:p w14:paraId="44401E28" w14:textId="15B8B4CA" w:rsidR="00EE021A" w:rsidRPr="00232EBB" w:rsidRDefault="00EE021A" w:rsidP="00A36F11">
            <w:pPr>
              <w:spacing w:after="0" w:line="240" w:lineRule="auto"/>
              <w:jc w:val="center"/>
              <w:rPr>
                <w:rFonts w:eastAsia="Calibri"/>
                <w:noProof/>
                <w:spacing w:val="0"/>
                <w:sz w:val="20"/>
                <w:szCs w:val="20"/>
                <w:lang w:val="es-DO"/>
              </w:rPr>
            </w:pPr>
            <w:r w:rsidRPr="00232EBB">
              <w:rPr>
                <w:sz w:val="20"/>
                <w:szCs w:val="20"/>
              </w:rPr>
              <w:t>71.95%</w:t>
            </w:r>
          </w:p>
        </w:tc>
      </w:tr>
      <w:tr w:rsidR="00EE021A" w:rsidRPr="00232EBB" w14:paraId="42C00CFF" w14:textId="77777777" w:rsidTr="00A36F11">
        <w:trPr>
          <w:trHeight w:val="496"/>
          <w:tblHeader/>
          <w:jc w:val="center"/>
        </w:trPr>
        <w:tc>
          <w:tcPr>
            <w:tcW w:w="1161" w:type="dxa"/>
            <w:vMerge/>
            <w:vAlign w:val="center"/>
            <w:hideMark/>
          </w:tcPr>
          <w:p w14:paraId="094ACDAA" w14:textId="77777777" w:rsidR="00EE021A" w:rsidRPr="00232EBB" w:rsidRDefault="00EE021A" w:rsidP="00EE021A">
            <w:pPr>
              <w:spacing w:after="0" w:line="240" w:lineRule="auto"/>
              <w:rPr>
                <w:rFonts w:eastAsia="Times New Roman"/>
                <w:b/>
                <w:bCs/>
                <w:color w:val="FFFFFF"/>
                <w:spacing w:val="0"/>
                <w:sz w:val="20"/>
                <w:szCs w:val="20"/>
              </w:rPr>
            </w:pPr>
          </w:p>
        </w:tc>
        <w:tc>
          <w:tcPr>
            <w:tcW w:w="1216" w:type="dxa"/>
            <w:vAlign w:val="center"/>
            <w:hideMark/>
          </w:tcPr>
          <w:p w14:paraId="15C0AC15" w14:textId="77777777" w:rsidR="00EE021A" w:rsidRPr="00232EBB" w:rsidRDefault="00EE021A" w:rsidP="00EE021A">
            <w:pPr>
              <w:spacing w:after="0" w:line="240" w:lineRule="auto"/>
              <w:jc w:val="center"/>
              <w:rPr>
                <w:rFonts w:eastAsia="Calibri"/>
                <w:noProof/>
                <w:spacing w:val="0"/>
                <w:sz w:val="20"/>
                <w:szCs w:val="20"/>
                <w:lang w:val="es-DO"/>
              </w:rPr>
            </w:pPr>
            <w:r w:rsidRPr="00232EBB">
              <w:rPr>
                <w:rFonts w:eastAsia="Calibri"/>
                <w:noProof/>
                <w:spacing w:val="0"/>
                <w:sz w:val="20"/>
                <w:szCs w:val="20"/>
                <w:lang w:val="es-DO"/>
              </w:rPr>
              <w:t>Pensionados y Jubilados PN.</w:t>
            </w:r>
          </w:p>
        </w:tc>
        <w:tc>
          <w:tcPr>
            <w:tcW w:w="1936" w:type="dxa"/>
            <w:vAlign w:val="center"/>
            <w:hideMark/>
          </w:tcPr>
          <w:p w14:paraId="1B965362" w14:textId="1060E2A9" w:rsidR="00EE021A" w:rsidRPr="00232EBB" w:rsidRDefault="00EE021A" w:rsidP="00A36F11">
            <w:pPr>
              <w:spacing w:after="0" w:line="240" w:lineRule="auto"/>
              <w:jc w:val="center"/>
              <w:rPr>
                <w:rFonts w:eastAsia="Calibri"/>
                <w:noProof/>
                <w:spacing w:val="0"/>
                <w:sz w:val="20"/>
                <w:szCs w:val="20"/>
                <w:lang w:val="es-DO"/>
              </w:rPr>
            </w:pPr>
            <w:r w:rsidRPr="00232EBB">
              <w:rPr>
                <w:sz w:val="20"/>
                <w:szCs w:val="20"/>
              </w:rPr>
              <w:t>689,716,122.38</w:t>
            </w:r>
          </w:p>
        </w:tc>
        <w:tc>
          <w:tcPr>
            <w:tcW w:w="1936" w:type="dxa"/>
            <w:vAlign w:val="center"/>
          </w:tcPr>
          <w:p w14:paraId="7109A174" w14:textId="1CDF476C" w:rsidR="00EE021A" w:rsidRPr="00232EBB" w:rsidRDefault="00EE021A" w:rsidP="00A36F11">
            <w:pPr>
              <w:spacing w:after="0" w:line="240" w:lineRule="auto"/>
              <w:jc w:val="center"/>
              <w:rPr>
                <w:rFonts w:eastAsia="Calibri"/>
                <w:noProof/>
                <w:spacing w:val="0"/>
                <w:sz w:val="20"/>
                <w:szCs w:val="20"/>
                <w:lang w:val="es-DO"/>
              </w:rPr>
            </w:pPr>
            <w:r w:rsidRPr="00232EBB">
              <w:rPr>
                <w:sz w:val="20"/>
                <w:szCs w:val="20"/>
              </w:rPr>
              <w:t>590,257,850.92</w:t>
            </w:r>
          </w:p>
        </w:tc>
        <w:tc>
          <w:tcPr>
            <w:tcW w:w="1746" w:type="dxa"/>
            <w:vAlign w:val="center"/>
          </w:tcPr>
          <w:p w14:paraId="1983CA97" w14:textId="3961F6FF" w:rsidR="00EE021A" w:rsidRPr="00232EBB" w:rsidRDefault="00EE021A" w:rsidP="00A36F11">
            <w:pPr>
              <w:spacing w:after="0" w:line="240" w:lineRule="auto"/>
              <w:jc w:val="center"/>
              <w:rPr>
                <w:rFonts w:eastAsia="Calibri"/>
                <w:noProof/>
                <w:spacing w:val="0"/>
                <w:sz w:val="20"/>
                <w:szCs w:val="20"/>
                <w:lang w:val="es-DO"/>
              </w:rPr>
            </w:pPr>
            <w:r w:rsidRPr="00232EBB">
              <w:rPr>
                <w:sz w:val="20"/>
                <w:szCs w:val="20"/>
              </w:rPr>
              <w:t>99,458,271.46</w:t>
            </w:r>
          </w:p>
        </w:tc>
        <w:tc>
          <w:tcPr>
            <w:tcW w:w="953" w:type="dxa"/>
            <w:vAlign w:val="center"/>
          </w:tcPr>
          <w:p w14:paraId="6FFFC89C" w14:textId="7C68C66B" w:rsidR="00EE021A" w:rsidRPr="00232EBB" w:rsidRDefault="00EE021A" w:rsidP="00A36F11">
            <w:pPr>
              <w:spacing w:after="0" w:line="240" w:lineRule="auto"/>
              <w:jc w:val="center"/>
              <w:rPr>
                <w:rFonts w:eastAsia="Calibri"/>
                <w:noProof/>
                <w:spacing w:val="0"/>
                <w:sz w:val="20"/>
                <w:szCs w:val="20"/>
                <w:lang w:val="es-DO"/>
              </w:rPr>
            </w:pPr>
            <w:r w:rsidRPr="00232EBB">
              <w:rPr>
                <w:sz w:val="20"/>
                <w:szCs w:val="20"/>
              </w:rPr>
              <w:t>16.85%</w:t>
            </w:r>
          </w:p>
        </w:tc>
      </w:tr>
      <w:tr w:rsidR="00EE021A" w:rsidRPr="00232EBB" w14:paraId="7CF5AEDB" w14:textId="77777777" w:rsidTr="00A36F11">
        <w:trPr>
          <w:trHeight w:val="739"/>
          <w:tblHeader/>
          <w:jc w:val="center"/>
        </w:trPr>
        <w:tc>
          <w:tcPr>
            <w:tcW w:w="1161" w:type="dxa"/>
            <w:vMerge/>
            <w:vAlign w:val="center"/>
            <w:hideMark/>
          </w:tcPr>
          <w:p w14:paraId="5CBF6415" w14:textId="77777777" w:rsidR="00EE021A" w:rsidRPr="00232EBB" w:rsidRDefault="00EE021A" w:rsidP="00EE021A">
            <w:pPr>
              <w:spacing w:after="0" w:line="240" w:lineRule="auto"/>
              <w:rPr>
                <w:rFonts w:eastAsia="Times New Roman"/>
                <w:b/>
                <w:bCs/>
                <w:color w:val="FFFFFF"/>
                <w:spacing w:val="0"/>
                <w:sz w:val="20"/>
                <w:szCs w:val="20"/>
              </w:rPr>
            </w:pPr>
          </w:p>
        </w:tc>
        <w:tc>
          <w:tcPr>
            <w:tcW w:w="1216" w:type="dxa"/>
            <w:vAlign w:val="center"/>
            <w:hideMark/>
          </w:tcPr>
          <w:p w14:paraId="356F647A" w14:textId="77777777" w:rsidR="00EE021A" w:rsidRPr="00232EBB" w:rsidRDefault="00EE021A" w:rsidP="00EE021A">
            <w:pPr>
              <w:spacing w:after="0" w:line="240" w:lineRule="auto"/>
              <w:jc w:val="center"/>
              <w:rPr>
                <w:rFonts w:eastAsia="Calibri"/>
                <w:noProof/>
                <w:spacing w:val="0"/>
                <w:sz w:val="20"/>
                <w:szCs w:val="20"/>
                <w:lang w:val="es-DO"/>
              </w:rPr>
            </w:pPr>
            <w:r w:rsidRPr="00232EBB">
              <w:rPr>
                <w:rFonts w:eastAsia="Calibri"/>
                <w:noProof/>
                <w:spacing w:val="0"/>
                <w:sz w:val="20"/>
                <w:szCs w:val="20"/>
                <w:lang w:val="es-DO"/>
              </w:rPr>
              <w:t>Pensionados Y Jubilados de Hacienda (Decreto 342-09)</w:t>
            </w:r>
          </w:p>
        </w:tc>
        <w:tc>
          <w:tcPr>
            <w:tcW w:w="1936" w:type="dxa"/>
            <w:vAlign w:val="center"/>
            <w:hideMark/>
          </w:tcPr>
          <w:p w14:paraId="0D6E76E9" w14:textId="069CE311" w:rsidR="00EE021A" w:rsidRPr="00232EBB" w:rsidRDefault="00EE021A" w:rsidP="00A36F11">
            <w:pPr>
              <w:spacing w:after="0" w:line="240" w:lineRule="auto"/>
              <w:jc w:val="center"/>
              <w:rPr>
                <w:rFonts w:eastAsia="Calibri"/>
                <w:noProof/>
                <w:spacing w:val="0"/>
                <w:sz w:val="20"/>
                <w:szCs w:val="20"/>
                <w:lang w:val="es-DO"/>
              </w:rPr>
            </w:pPr>
            <w:r w:rsidRPr="00232EBB">
              <w:rPr>
                <w:sz w:val="20"/>
                <w:szCs w:val="20"/>
              </w:rPr>
              <w:t>779,222,427.93</w:t>
            </w:r>
          </w:p>
        </w:tc>
        <w:tc>
          <w:tcPr>
            <w:tcW w:w="1936" w:type="dxa"/>
            <w:vAlign w:val="center"/>
          </w:tcPr>
          <w:p w14:paraId="61D49345" w14:textId="14EE94EC" w:rsidR="00EE021A" w:rsidRPr="00232EBB" w:rsidRDefault="00EE021A" w:rsidP="00A36F11">
            <w:pPr>
              <w:spacing w:after="0" w:line="240" w:lineRule="auto"/>
              <w:jc w:val="center"/>
              <w:rPr>
                <w:rFonts w:eastAsia="Calibri"/>
                <w:noProof/>
                <w:spacing w:val="0"/>
                <w:sz w:val="20"/>
                <w:szCs w:val="20"/>
                <w:lang w:val="es-DO"/>
              </w:rPr>
            </w:pPr>
            <w:r w:rsidRPr="00232EBB">
              <w:rPr>
                <w:sz w:val="20"/>
                <w:szCs w:val="20"/>
              </w:rPr>
              <w:t>469,137,056.46</w:t>
            </w:r>
          </w:p>
        </w:tc>
        <w:tc>
          <w:tcPr>
            <w:tcW w:w="1746" w:type="dxa"/>
            <w:vAlign w:val="center"/>
          </w:tcPr>
          <w:p w14:paraId="3322BAF9" w14:textId="1B8AB718" w:rsidR="00EE021A" w:rsidRPr="00232EBB" w:rsidRDefault="00EE021A" w:rsidP="00A36F11">
            <w:pPr>
              <w:spacing w:after="0" w:line="240" w:lineRule="auto"/>
              <w:jc w:val="center"/>
              <w:rPr>
                <w:rFonts w:eastAsia="Calibri"/>
                <w:noProof/>
                <w:spacing w:val="0"/>
                <w:sz w:val="20"/>
                <w:szCs w:val="20"/>
                <w:lang w:val="es-DO"/>
              </w:rPr>
            </w:pPr>
            <w:r w:rsidRPr="00232EBB">
              <w:rPr>
                <w:sz w:val="20"/>
                <w:szCs w:val="20"/>
              </w:rPr>
              <w:t>310,085,371.47</w:t>
            </w:r>
          </w:p>
        </w:tc>
        <w:tc>
          <w:tcPr>
            <w:tcW w:w="953" w:type="dxa"/>
            <w:vAlign w:val="center"/>
          </w:tcPr>
          <w:p w14:paraId="566BB46D" w14:textId="70E19194" w:rsidR="00EE021A" w:rsidRPr="00232EBB" w:rsidRDefault="00EE021A" w:rsidP="00A36F11">
            <w:pPr>
              <w:spacing w:after="0" w:line="240" w:lineRule="auto"/>
              <w:jc w:val="center"/>
              <w:rPr>
                <w:rFonts w:eastAsia="Calibri"/>
                <w:noProof/>
                <w:spacing w:val="0"/>
                <w:sz w:val="20"/>
                <w:szCs w:val="20"/>
                <w:lang w:val="es-DO"/>
              </w:rPr>
            </w:pPr>
            <w:r w:rsidRPr="00232EBB">
              <w:rPr>
                <w:sz w:val="20"/>
                <w:szCs w:val="20"/>
              </w:rPr>
              <w:t>66.10%</w:t>
            </w:r>
          </w:p>
        </w:tc>
      </w:tr>
      <w:tr w:rsidR="00EE021A" w:rsidRPr="00232EBB" w14:paraId="619EE6D1" w14:textId="77777777" w:rsidTr="00A36F11">
        <w:trPr>
          <w:trHeight w:val="739"/>
          <w:tblHeader/>
          <w:jc w:val="center"/>
        </w:trPr>
        <w:tc>
          <w:tcPr>
            <w:tcW w:w="1161" w:type="dxa"/>
            <w:vMerge/>
            <w:vAlign w:val="center"/>
            <w:hideMark/>
          </w:tcPr>
          <w:p w14:paraId="78421206" w14:textId="77777777" w:rsidR="00EE021A" w:rsidRPr="00232EBB" w:rsidRDefault="00EE021A" w:rsidP="00EE021A">
            <w:pPr>
              <w:spacing w:after="0" w:line="240" w:lineRule="auto"/>
              <w:rPr>
                <w:rFonts w:eastAsia="Times New Roman"/>
                <w:b/>
                <w:bCs/>
                <w:color w:val="FFFFFF"/>
                <w:spacing w:val="0"/>
                <w:sz w:val="20"/>
                <w:szCs w:val="20"/>
              </w:rPr>
            </w:pPr>
          </w:p>
        </w:tc>
        <w:tc>
          <w:tcPr>
            <w:tcW w:w="1216" w:type="dxa"/>
            <w:vAlign w:val="center"/>
            <w:hideMark/>
          </w:tcPr>
          <w:p w14:paraId="19BA63CC" w14:textId="77777777" w:rsidR="00EE021A" w:rsidRPr="00232EBB" w:rsidRDefault="00EE021A" w:rsidP="00EE021A">
            <w:pPr>
              <w:spacing w:after="0" w:line="240" w:lineRule="auto"/>
              <w:jc w:val="center"/>
              <w:rPr>
                <w:rFonts w:eastAsia="Calibri"/>
                <w:noProof/>
                <w:spacing w:val="0"/>
                <w:sz w:val="20"/>
                <w:szCs w:val="20"/>
                <w:lang w:val="es-DO"/>
              </w:rPr>
            </w:pPr>
            <w:r w:rsidRPr="00232EBB">
              <w:rPr>
                <w:rFonts w:eastAsia="Calibri"/>
                <w:noProof/>
                <w:spacing w:val="0"/>
                <w:sz w:val="20"/>
                <w:szCs w:val="20"/>
                <w:lang w:val="es-DO"/>
              </w:rPr>
              <w:t>Pensionados y Jubilados del Estado (Decreto 18-19)</w:t>
            </w:r>
          </w:p>
        </w:tc>
        <w:tc>
          <w:tcPr>
            <w:tcW w:w="1936" w:type="dxa"/>
            <w:vAlign w:val="center"/>
            <w:hideMark/>
          </w:tcPr>
          <w:p w14:paraId="1E934714" w14:textId="06342043" w:rsidR="00EE021A" w:rsidRPr="00232EBB" w:rsidRDefault="00EE021A" w:rsidP="00A36F11">
            <w:pPr>
              <w:spacing w:after="0" w:line="240" w:lineRule="auto"/>
              <w:jc w:val="center"/>
              <w:rPr>
                <w:rFonts w:eastAsia="Calibri"/>
                <w:noProof/>
                <w:spacing w:val="0"/>
                <w:sz w:val="20"/>
                <w:szCs w:val="20"/>
                <w:lang w:val="es-DO"/>
              </w:rPr>
            </w:pPr>
            <w:r w:rsidRPr="00232EBB">
              <w:rPr>
                <w:sz w:val="20"/>
                <w:szCs w:val="20"/>
              </w:rPr>
              <w:t>1,057,737,556.93</w:t>
            </w:r>
          </w:p>
        </w:tc>
        <w:tc>
          <w:tcPr>
            <w:tcW w:w="1936" w:type="dxa"/>
            <w:vAlign w:val="center"/>
          </w:tcPr>
          <w:p w14:paraId="131A8610" w14:textId="0F0C7574" w:rsidR="00EE021A" w:rsidRPr="00232EBB" w:rsidRDefault="00EE021A" w:rsidP="00A36F11">
            <w:pPr>
              <w:spacing w:after="0" w:line="240" w:lineRule="auto"/>
              <w:jc w:val="center"/>
              <w:rPr>
                <w:rFonts w:eastAsia="Calibri"/>
                <w:noProof/>
                <w:spacing w:val="0"/>
                <w:sz w:val="20"/>
                <w:szCs w:val="20"/>
                <w:lang w:val="es-DO"/>
              </w:rPr>
            </w:pPr>
            <w:r w:rsidRPr="00232EBB">
              <w:rPr>
                <w:sz w:val="20"/>
                <w:szCs w:val="20"/>
              </w:rPr>
              <w:t>713,596,599.93</w:t>
            </w:r>
          </w:p>
        </w:tc>
        <w:tc>
          <w:tcPr>
            <w:tcW w:w="1746" w:type="dxa"/>
            <w:vAlign w:val="center"/>
          </w:tcPr>
          <w:p w14:paraId="7B95C556" w14:textId="38F76CFA" w:rsidR="00EE021A" w:rsidRPr="00232EBB" w:rsidRDefault="00EE021A" w:rsidP="00A36F11">
            <w:pPr>
              <w:spacing w:after="0" w:line="240" w:lineRule="auto"/>
              <w:jc w:val="center"/>
              <w:rPr>
                <w:rFonts w:eastAsia="Calibri"/>
                <w:noProof/>
                <w:spacing w:val="0"/>
                <w:sz w:val="20"/>
                <w:szCs w:val="20"/>
                <w:lang w:val="es-DO"/>
              </w:rPr>
            </w:pPr>
            <w:r w:rsidRPr="00232EBB">
              <w:rPr>
                <w:sz w:val="20"/>
                <w:szCs w:val="20"/>
              </w:rPr>
              <w:t>344,140,957.00</w:t>
            </w:r>
          </w:p>
        </w:tc>
        <w:tc>
          <w:tcPr>
            <w:tcW w:w="953" w:type="dxa"/>
            <w:vAlign w:val="center"/>
          </w:tcPr>
          <w:p w14:paraId="3BC076EB" w14:textId="6E77F39D" w:rsidR="00EE021A" w:rsidRPr="00232EBB" w:rsidRDefault="00EE021A" w:rsidP="00A36F11">
            <w:pPr>
              <w:spacing w:after="0" w:line="240" w:lineRule="auto"/>
              <w:jc w:val="center"/>
              <w:rPr>
                <w:rFonts w:eastAsia="Calibri"/>
                <w:noProof/>
                <w:spacing w:val="0"/>
                <w:sz w:val="20"/>
                <w:szCs w:val="20"/>
                <w:lang w:val="es-DO"/>
              </w:rPr>
            </w:pPr>
            <w:r w:rsidRPr="00232EBB">
              <w:rPr>
                <w:sz w:val="20"/>
                <w:szCs w:val="20"/>
              </w:rPr>
              <w:t>48.23%</w:t>
            </w:r>
          </w:p>
        </w:tc>
      </w:tr>
      <w:tr w:rsidR="00EE021A" w:rsidRPr="00232EBB" w14:paraId="51F58F30" w14:textId="77777777" w:rsidTr="00A36F11">
        <w:trPr>
          <w:trHeight w:val="297"/>
          <w:tblHeader/>
          <w:jc w:val="center"/>
        </w:trPr>
        <w:tc>
          <w:tcPr>
            <w:tcW w:w="1161" w:type="dxa"/>
            <w:vMerge/>
            <w:vAlign w:val="center"/>
            <w:hideMark/>
          </w:tcPr>
          <w:p w14:paraId="2809CAC6" w14:textId="77777777" w:rsidR="00EE021A" w:rsidRPr="00232EBB" w:rsidRDefault="00EE021A" w:rsidP="00EE021A">
            <w:pPr>
              <w:spacing w:after="0" w:line="240" w:lineRule="auto"/>
              <w:rPr>
                <w:rFonts w:eastAsia="Times New Roman"/>
                <w:b/>
                <w:bCs/>
                <w:color w:val="FFFFFF"/>
                <w:spacing w:val="0"/>
                <w:sz w:val="20"/>
                <w:szCs w:val="20"/>
              </w:rPr>
            </w:pPr>
          </w:p>
        </w:tc>
        <w:tc>
          <w:tcPr>
            <w:tcW w:w="1216" w:type="dxa"/>
            <w:vAlign w:val="center"/>
            <w:hideMark/>
          </w:tcPr>
          <w:p w14:paraId="1AB4E885" w14:textId="79B5A851" w:rsidR="00EE021A" w:rsidRPr="00232EBB" w:rsidRDefault="00EE021A" w:rsidP="00EE021A">
            <w:pPr>
              <w:spacing w:after="0" w:line="240" w:lineRule="auto"/>
              <w:jc w:val="center"/>
              <w:rPr>
                <w:rFonts w:eastAsia="Calibri"/>
                <w:b/>
                <w:bCs/>
                <w:noProof/>
                <w:spacing w:val="0"/>
                <w:sz w:val="20"/>
                <w:szCs w:val="20"/>
                <w:lang w:val="es-DO"/>
              </w:rPr>
            </w:pPr>
            <w:r w:rsidRPr="00232EBB">
              <w:rPr>
                <w:rFonts w:eastAsia="Calibri"/>
                <w:b/>
                <w:bCs/>
                <w:noProof/>
                <w:spacing w:val="0"/>
                <w:sz w:val="20"/>
                <w:szCs w:val="20"/>
                <w:lang w:val="es-DO"/>
              </w:rPr>
              <w:t>TOTALES</w:t>
            </w:r>
          </w:p>
        </w:tc>
        <w:tc>
          <w:tcPr>
            <w:tcW w:w="1936" w:type="dxa"/>
            <w:vAlign w:val="center"/>
          </w:tcPr>
          <w:p w14:paraId="294900F2" w14:textId="79EB980F" w:rsidR="00EE021A" w:rsidRPr="00232EBB" w:rsidRDefault="00EE021A" w:rsidP="00A36F11">
            <w:pPr>
              <w:spacing w:after="0" w:line="240" w:lineRule="auto"/>
              <w:jc w:val="center"/>
              <w:rPr>
                <w:rFonts w:eastAsia="Calibri"/>
                <w:b/>
                <w:bCs/>
                <w:noProof/>
                <w:spacing w:val="0"/>
                <w:sz w:val="20"/>
                <w:szCs w:val="20"/>
                <w:lang w:val="es-DO"/>
              </w:rPr>
            </w:pPr>
            <w:r w:rsidRPr="00232EBB">
              <w:rPr>
                <w:sz w:val="20"/>
                <w:szCs w:val="20"/>
              </w:rPr>
              <w:t>3,577,611,578.87</w:t>
            </w:r>
          </w:p>
        </w:tc>
        <w:tc>
          <w:tcPr>
            <w:tcW w:w="1936" w:type="dxa"/>
            <w:vAlign w:val="center"/>
          </w:tcPr>
          <w:p w14:paraId="70B61A74" w14:textId="45C5E19F" w:rsidR="00EE021A" w:rsidRPr="00232EBB" w:rsidRDefault="00EE021A" w:rsidP="00A36F11">
            <w:pPr>
              <w:spacing w:after="0" w:line="240" w:lineRule="auto"/>
              <w:jc w:val="center"/>
              <w:rPr>
                <w:rFonts w:eastAsia="Calibri"/>
                <w:b/>
                <w:bCs/>
                <w:noProof/>
                <w:spacing w:val="0"/>
                <w:sz w:val="20"/>
                <w:szCs w:val="20"/>
                <w:lang w:val="es-DO"/>
              </w:rPr>
            </w:pPr>
            <w:r w:rsidRPr="00232EBB">
              <w:rPr>
                <w:sz w:val="20"/>
                <w:szCs w:val="20"/>
              </w:rPr>
              <w:t>2,467,869,147.78</w:t>
            </w:r>
          </w:p>
        </w:tc>
        <w:tc>
          <w:tcPr>
            <w:tcW w:w="1746" w:type="dxa"/>
            <w:vAlign w:val="center"/>
          </w:tcPr>
          <w:p w14:paraId="1521CC7A" w14:textId="292EF5A4" w:rsidR="00EE021A" w:rsidRPr="00232EBB" w:rsidRDefault="00EE021A" w:rsidP="00A36F11">
            <w:pPr>
              <w:spacing w:after="0" w:line="240" w:lineRule="auto"/>
              <w:jc w:val="center"/>
              <w:rPr>
                <w:rFonts w:eastAsia="Calibri"/>
                <w:b/>
                <w:bCs/>
                <w:noProof/>
                <w:spacing w:val="0"/>
                <w:sz w:val="20"/>
                <w:szCs w:val="20"/>
                <w:lang w:val="es-DO"/>
              </w:rPr>
            </w:pPr>
            <w:r w:rsidRPr="00232EBB">
              <w:rPr>
                <w:sz w:val="20"/>
                <w:szCs w:val="20"/>
              </w:rPr>
              <w:t>1,109,742,431.09</w:t>
            </w:r>
          </w:p>
        </w:tc>
        <w:tc>
          <w:tcPr>
            <w:tcW w:w="953" w:type="dxa"/>
            <w:vAlign w:val="center"/>
          </w:tcPr>
          <w:p w14:paraId="4CAE335F" w14:textId="327BF8A9" w:rsidR="00EE021A" w:rsidRPr="00232EBB" w:rsidRDefault="00EE021A" w:rsidP="00A36F11">
            <w:pPr>
              <w:spacing w:after="0" w:line="240" w:lineRule="auto"/>
              <w:jc w:val="center"/>
              <w:rPr>
                <w:rFonts w:eastAsia="Calibri"/>
                <w:b/>
                <w:bCs/>
                <w:noProof/>
                <w:spacing w:val="0"/>
                <w:sz w:val="20"/>
                <w:szCs w:val="20"/>
                <w:lang w:val="es-DO"/>
              </w:rPr>
            </w:pPr>
            <w:r w:rsidRPr="00232EBB">
              <w:rPr>
                <w:sz w:val="20"/>
                <w:szCs w:val="20"/>
              </w:rPr>
              <w:t>44.97%</w:t>
            </w:r>
          </w:p>
        </w:tc>
      </w:tr>
    </w:tbl>
    <w:p w14:paraId="6E95F276" w14:textId="2F992828" w:rsidR="00041B32" w:rsidRPr="00232EBB" w:rsidRDefault="00041B32" w:rsidP="00F95039">
      <w:pPr>
        <w:spacing w:line="360" w:lineRule="auto"/>
        <w:ind w:left="-90"/>
        <w:jc w:val="both"/>
        <w:rPr>
          <w:rFonts w:eastAsia="Calibri"/>
          <w:noProof/>
          <w:sz w:val="18"/>
          <w:szCs w:val="18"/>
          <w:lang w:val="es-ES"/>
        </w:rPr>
      </w:pPr>
      <w:r w:rsidRPr="00232EBB">
        <w:rPr>
          <w:rFonts w:eastAsia="Calibri"/>
          <w:b/>
          <w:bCs/>
          <w:noProof/>
          <w:sz w:val="18"/>
          <w:szCs w:val="18"/>
          <w:lang w:val="es-ES"/>
        </w:rPr>
        <w:t xml:space="preserve">Tabla </w:t>
      </w:r>
      <w:r w:rsidR="007B5587" w:rsidRPr="00232EBB">
        <w:rPr>
          <w:rFonts w:eastAsia="Calibri"/>
          <w:b/>
          <w:bCs/>
          <w:noProof/>
          <w:sz w:val="18"/>
          <w:szCs w:val="18"/>
          <w:lang w:val="es-ES"/>
        </w:rPr>
        <w:t>7</w:t>
      </w:r>
      <w:r w:rsidRPr="00232EBB">
        <w:rPr>
          <w:rFonts w:eastAsia="Calibri"/>
          <w:b/>
          <w:bCs/>
          <w:noProof/>
          <w:sz w:val="18"/>
          <w:szCs w:val="18"/>
          <w:lang w:val="es-ES"/>
        </w:rPr>
        <w:t xml:space="preserve">: </w:t>
      </w:r>
      <w:r w:rsidRPr="00232EBB">
        <w:rPr>
          <w:rFonts w:eastAsia="Calibri"/>
          <w:noProof/>
          <w:sz w:val="18"/>
          <w:szCs w:val="18"/>
          <w:lang w:val="es-ES"/>
        </w:rPr>
        <w:t>Aportes Planes Especiales Transitorios de Servicios de Salud Pensionados y Jubilados enero-</w:t>
      </w:r>
      <w:r w:rsidR="00EE021A" w:rsidRPr="00232EBB">
        <w:rPr>
          <w:rFonts w:eastAsia="Calibri"/>
          <w:noProof/>
          <w:sz w:val="18"/>
          <w:szCs w:val="18"/>
          <w:lang w:val="es-ES"/>
        </w:rPr>
        <w:t>dic</w:t>
      </w:r>
      <w:r w:rsidR="00413FED" w:rsidRPr="00232EBB">
        <w:rPr>
          <w:rFonts w:eastAsia="Calibri"/>
          <w:noProof/>
          <w:sz w:val="18"/>
          <w:szCs w:val="18"/>
          <w:lang w:val="es-ES"/>
        </w:rPr>
        <w:t>iem</w:t>
      </w:r>
      <w:r w:rsidRPr="00232EBB">
        <w:rPr>
          <w:rFonts w:eastAsia="Calibri"/>
          <w:noProof/>
          <w:sz w:val="18"/>
          <w:szCs w:val="18"/>
          <w:lang w:val="es-ES"/>
        </w:rPr>
        <w:t>bre 202</w:t>
      </w:r>
      <w:r w:rsidR="00413FED" w:rsidRPr="00232EBB">
        <w:rPr>
          <w:rFonts w:eastAsia="Calibri"/>
          <w:noProof/>
          <w:sz w:val="18"/>
          <w:szCs w:val="18"/>
          <w:lang w:val="es-ES"/>
        </w:rPr>
        <w:t>5</w:t>
      </w:r>
      <w:r w:rsidRPr="00232EBB">
        <w:rPr>
          <w:rFonts w:eastAsia="Calibri"/>
          <w:noProof/>
          <w:sz w:val="18"/>
          <w:szCs w:val="18"/>
          <w:lang w:val="es-ES"/>
        </w:rPr>
        <w:t>.</w:t>
      </w:r>
    </w:p>
    <w:p w14:paraId="2E202AAF" w14:textId="77777777" w:rsidR="00041B32" w:rsidRPr="00232EBB" w:rsidRDefault="00041B32" w:rsidP="00041B32">
      <w:pPr>
        <w:spacing w:line="360" w:lineRule="auto"/>
        <w:jc w:val="both"/>
        <w:rPr>
          <w:rFonts w:eastAsia="Calibri"/>
          <w:noProof/>
          <w:lang w:val="es-DO"/>
        </w:rPr>
      </w:pPr>
      <w:r w:rsidRPr="00232EBB">
        <w:rPr>
          <w:rFonts w:eastAsia="Calibri"/>
          <w:noProof/>
          <w:lang w:val="es-DO"/>
        </w:rPr>
        <w:t>Pagos Planes Especiales Transitorios de Servicios de Salud Pensionados y Jubilados:</w:t>
      </w:r>
    </w:p>
    <w:tbl>
      <w:tblPr>
        <w:tblW w:w="8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1936"/>
        <w:gridCol w:w="1936"/>
        <w:gridCol w:w="1936"/>
        <w:gridCol w:w="1751"/>
      </w:tblGrid>
      <w:tr w:rsidR="00041B32" w:rsidRPr="00232EBB" w14:paraId="350EBEDC" w14:textId="77777777" w:rsidTr="00DB2512">
        <w:trPr>
          <w:trHeight w:val="341"/>
          <w:tblHeader/>
          <w:jc w:val="center"/>
        </w:trPr>
        <w:tc>
          <w:tcPr>
            <w:tcW w:w="1436" w:type="dxa"/>
            <w:shd w:val="clear" w:color="000000" w:fill="1F3864"/>
            <w:vAlign w:val="center"/>
            <w:hideMark/>
          </w:tcPr>
          <w:p w14:paraId="7806E3B0" w14:textId="77777777" w:rsidR="00041B32" w:rsidRPr="00232EBB" w:rsidRDefault="00041B32">
            <w:pPr>
              <w:spacing w:after="0" w:line="240" w:lineRule="auto"/>
              <w:jc w:val="center"/>
              <w:rPr>
                <w:rFonts w:eastAsia="Times New Roman"/>
                <w:b/>
                <w:bCs/>
                <w:color w:val="FFFFFF" w:themeColor="background1"/>
                <w:spacing w:val="0"/>
                <w:sz w:val="20"/>
                <w:szCs w:val="20"/>
                <w:lang w:val="es-ES"/>
              </w:rPr>
            </w:pPr>
            <w:r w:rsidRPr="00232EBB">
              <w:rPr>
                <w:rFonts w:eastAsia="Times New Roman"/>
                <w:b/>
                <w:bCs/>
                <w:color w:val="FFFFFF" w:themeColor="background1"/>
                <w:spacing w:val="0"/>
                <w:sz w:val="20"/>
                <w:szCs w:val="20"/>
                <w:lang w:val="es-ES"/>
              </w:rPr>
              <w:t>Detalles</w:t>
            </w:r>
          </w:p>
        </w:tc>
        <w:tc>
          <w:tcPr>
            <w:tcW w:w="1936" w:type="dxa"/>
            <w:shd w:val="clear" w:color="000000" w:fill="1F3864"/>
            <w:vAlign w:val="center"/>
            <w:hideMark/>
          </w:tcPr>
          <w:p w14:paraId="3B59C05D" w14:textId="1C14467F" w:rsidR="00041B32" w:rsidRPr="00232EBB" w:rsidRDefault="00041B32">
            <w:pPr>
              <w:spacing w:after="0" w:line="240" w:lineRule="auto"/>
              <w:jc w:val="center"/>
              <w:rPr>
                <w:rFonts w:eastAsia="Times New Roman"/>
                <w:b/>
                <w:bCs/>
                <w:color w:val="FFFFFF" w:themeColor="background1"/>
                <w:spacing w:val="0"/>
                <w:sz w:val="20"/>
                <w:szCs w:val="20"/>
                <w:lang w:val="es-ES"/>
              </w:rPr>
            </w:pPr>
            <w:r w:rsidRPr="00232EBB">
              <w:rPr>
                <w:rFonts w:eastAsia="Times New Roman"/>
                <w:b/>
                <w:bCs/>
                <w:color w:val="FFFFFF" w:themeColor="background1"/>
                <w:spacing w:val="0"/>
                <w:sz w:val="20"/>
                <w:szCs w:val="20"/>
                <w:lang w:val="es-ES"/>
              </w:rPr>
              <w:t>202</w:t>
            </w:r>
            <w:r w:rsidR="00413FED" w:rsidRPr="00232EBB">
              <w:rPr>
                <w:rFonts w:eastAsia="Times New Roman"/>
                <w:b/>
                <w:bCs/>
                <w:color w:val="FFFFFF" w:themeColor="background1"/>
                <w:spacing w:val="0"/>
                <w:sz w:val="20"/>
                <w:szCs w:val="20"/>
                <w:lang w:val="es-ES"/>
              </w:rPr>
              <w:t>5</w:t>
            </w:r>
          </w:p>
        </w:tc>
        <w:tc>
          <w:tcPr>
            <w:tcW w:w="1936" w:type="dxa"/>
            <w:shd w:val="clear" w:color="000000" w:fill="1F3864"/>
            <w:vAlign w:val="center"/>
            <w:hideMark/>
          </w:tcPr>
          <w:p w14:paraId="7D357923" w14:textId="6B566310" w:rsidR="00041B32" w:rsidRPr="00232EBB" w:rsidRDefault="00041B32">
            <w:pPr>
              <w:spacing w:after="0" w:line="240" w:lineRule="auto"/>
              <w:jc w:val="center"/>
              <w:rPr>
                <w:rFonts w:eastAsia="Times New Roman"/>
                <w:b/>
                <w:bCs/>
                <w:color w:val="FFFFFF" w:themeColor="background1"/>
                <w:spacing w:val="0"/>
                <w:sz w:val="20"/>
                <w:szCs w:val="20"/>
                <w:lang w:val="es-ES"/>
              </w:rPr>
            </w:pPr>
            <w:r w:rsidRPr="00232EBB">
              <w:rPr>
                <w:rFonts w:eastAsia="Times New Roman"/>
                <w:b/>
                <w:bCs/>
                <w:color w:val="FFFFFF" w:themeColor="background1"/>
                <w:spacing w:val="0"/>
                <w:sz w:val="20"/>
                <w:szCs w:val="20"/>
                <w:lang w:val="es-ES"/>
              </w:rPr>
              <w:t>202</w:t>
            </w:r>
            <w:r w:rsidR="00413FED" w:rsidRPr="00232EBB">
              <w:rPr>
                <w:rFonts w:eastAsia="Times New Roman"/>
                <w:b/>
                <w:bCs/>
                <w:color w:val="FFFFFF" w:themeColor="background1"/>
                <w:spacing w:val="0"/>
                <w:sz w:val="20"/>
                <w:szCs w:val="20"/>
                <w:lang w:val="es-ES"/>
              </w:rPr>
              <w:t>4</w:t>
            </w:r>
          </w:p>
        </w:tc>
        <w:tc>
          <w:tcPr>
            <w:tcW w:w="1936" w:type="dxa"/>
            <w:shd w:val="clear" w:color="000000" w:fill="1F3864"/>
            <w:vAlign w:val="center"/>
            <w:hideMark/>
          </w:tcPr>
          <w:p w14:paraId="07752D41" w14:textId="77777777" w:rsidR="00041B32" w:rsidRPr="00232EBB" w:rsidRDefault="00041B32">
            <w:pPr>
              <w:spacing w:after="0" w:line="240" w:lineRule="auto"/>
              <w:jc w:val="center"/>
              <w:rPr>
                <w:rFonts w:eastAsia="Times New Roman"/>
                <w:b/>
                <w:bCs/>
                <w:color w:val="FFFFFF" w:themeColor="background1"/>
                <w:spacing w:val="0"/>
                <w:sz w:val="20"/>
                <w:szCs w:val="20"/>
                <w:lang w:val="es-ES"/>
              </w:rPr>
            </w:pPr>
            <w:r w:rsidRPr="00232EBB">
              <w:rPr>
                <w:rFonts w:eastAsia="Times New Roman"/>
                <w:b/>
                <w:bCs/>
                <w:color w:val="FFFFFF" w:themeColor="background1"/>
                <w:spacing w:val="0"/>
                <w:sz w:val="20"/>
                <w:szCs w:val="20"/>
                <w:lang w:val="es-ES"/>
              </w:rPr>
              <w:t>Variación</w:t>
            </w:r>
          </w:p>
        </w:tc>
        <w:tc>
          <w:tcPr>
            <w:tcW w:w="1751" w:type="dxa"/>
            <w:shd w:val="clear" w:color="000000" w:fill="1F3864"/>
            <w:vAlign w:val="center"/>
            <w:hideMark/>
          </w:tcPr>
          <w:p w14:paraId="3555BBB4" w14:textId="77777777" w:rsidR="00041B32" w:rsidRPr="00232EBB" w:rsidRDefault="00041B32">
            <w:pPr>
              <w:spacing w:after="0" w:line="240" w:lineRule="auto"/>
              <w:jc w:val="center"/>
              <w:rPr>
                <w:rFonts w:eastAsia="Times New Roman"/>
                <w:b/>
                <w:bCs/>
                <w:color w:val="FFFFFF" w:themeColor="background1"/>
                <w:spacing w:val="0"/>
                <w:sz w:val="20"/>
                <w:szCs w:val="20"/>
                <w:lang w:val="es-ES"/>
              </w:rPr>
            </w:pPr>
            <w:r w:rsidRPr="00232EBB">
              <w:rPr>
                <w:rFonts w:eastAsia="Times New Roman"/>
                <w:b/>
                <w:bCs/>
                <w:color w:val="FFFFFF" w:themeColor="background1"/>
                <w:spacing w:val="0"/>
                <w:sz w:val="20"/>
                <w:szCs w:val="20"/>
                <w:lang w:val="es-ES"/>
              </w:rPr>
              <w:t>%</w:t>
            </w:r>
          </w:p>
        </w:tc>
      </w:tr>
      <w:tr w:rsidR="00EE021A" w:rsidRPr="00232EBB" w14:paraId="2215290F" w14:textId="77777777" w:rsidTr="00822846">
        <w:trPr>
          <w:trHeight w:val="443"/>
          <w:jc w:val="center"/>
        </w:trPr>
        <w:tc>
          <w:tcPr>
            <w:tcW w:w="1436" w:type="dxa"/>
            <w:vAlign w:val="center"/>
            <w:hideMark/>
          </w:tcPr>
          <w:p w14:paraId="11BCC8EE" w14:textId="77777777" w:rsidR="00EE021A" w:rsidRPr="00232EBB" w:rsidRDefault="00EE021A" w:rsidP="00EE021A">
            <w:pPr>
              <w:spacing w:after="0" w:line="240" w:lineRule="auto"/>
              <w:jc w:val="center"/>
              <w:rPr>
                <w:rFonts w:eastAsia="Calibri"/>
                <w:noProof/>
                <w:sz w:val="20"/>
                <w:szCs w:val="20"/>
                <w:lang w:val="es-ES"/>
              </w:rPr>
            </w:pPr>
            <w:r w:rsidRPr="00232EBB">
              <w:rPr>
                <w:rFonts w:eastAsia="Calibri"/>
                <w:noProof/>
                <w:sz w:val="20"/>
                <w:szCs w:val="20"/>
                <w:lang w:val="es-ES"/>
              </w:rPr>
              <w:t>Pensionados y Jubilados FFAA</w:t>
            </w:r>
          </w:p>
        </w:tc>
        <w:tc>
          <w:tcPr>
            <w:tcW w:w="1936" w:type="dxa"/>
            <w:noWrap/>
            <w:vAlign w:val="center"/>
          </w:tcPr>
          <w:p w14:paraId="1274FF1F" w14:textId="28A4A7E5" w:rsidR="00EE021A" w:rsidRPr="00232EBB" w:rsidRDefault="00EE021A" w:rsidP="00822846">
            <w:pPr>
              <w:spacing w:after="0" w:line="240" w:lineRule="auto"/>
              <w:jc w:val="center"/>
              <w:rPr>
                <w:rFonts w:eastAsia="Calibri"/>
                <w:noProof/>
                <w:sz w:val="20"/>
                <w:szCs w:val="20"/>
                <w:lang w:val="es-ES"/>
              </w:rPr>
            </w:pPr>
            <w:r w:rsidRPr="00232EBB">
              <w:rPr>
                <w:sz w:val="20"/>
                <w:szCs w:val="20"/>
              </w:rPr>
              <w:t>804,502,139.40</w:t>
            </w:r>
          </w:p>
        </w:tc>
        <w:tc>
          <w:tcPr>
            <w:tcW w:w="1936" w:type="dxa"/>
            <w:noWrap/>
            <w:vAlign w:val="center"/>
          </w:tcPr>
          <w:p w14:paraId="2D6C05A1" w14:textId="0CA64846" w:rsidR="00EE021A" w:rsidRPr="00232EBB" w:rsidRDefault="00EE021A" w:rsidP="00822846">
            <w:pPr>
              <w:spacing w:after="0" w:line="240" w:lineRule="auto"/>
              <w:jc w:val="center"/>
              <w:rPr>
                <w:rFonts w:eastAsia="Calibri"/>
                <w:noProof/>
                <w:sz w:val="20"/>
                <w:szCs w:val="20"/>
                <w:lang w:val="es-ES"/>
              </w:rPr>
            </w:pPr>
            <w:r w:rsidRPr="00232EBB">
              <w:rPr>
                <w:sz w:val="20"/>
                <w:szCs w:val="20"/>
              </w:rPr>
              <w:t>516,696,342.08</w:t>
            </w:r>
          </w:p>
        </w:tc>
        <w:tc>
          <w:tcPr>
            <w:tcW w:w="1936" w:type="dxa"/>
            <w:noWrap/>
            <w:vAlign w:val="center"/>
          </w:tcPr>
          <w:p w14:paraId="2420C243" w14:textId="4BCEE0D6" w:rsidR="00EE021A" w:rsidRPr="00232EBB" w:rsidRDefault="00EE021A" w:rsidP="00822846">
            <w:pPr>
              <w:spacing w:after="0" w:line="240" w:lineRule="auto"/>
              <w:jc w:val="center"/>
              <w:rPr>
                <w:rFonts w:eastAsia="Calibri"/>
                <w:noProof/>
                <w:sz w:val="20"/>
                <w:szCs w:val="20"/>
                <w:lang w:val="es-ES"/>
              </w:rPr>
            </w:pPr>
            <w:r w:rsidRPr="00232EBB">
              <w:rPr>
                <w:sz w:val="20"/>
                <w:szCs w:val="20"/>
              </w:rPr>
              <w:t>287,805,797.32</w:t>
            </w:r>
          </w:p>
        </w:tc>
        <w:tc>
          <w:tcPr>
            <w:tcW w:w="1751" w:type="dxa"/>
            <w:noWrap/>
            <w:vAlign w:val="center"/>
          </w:tcPr>
          <w:p w14:paraId="17C956D7" w14:textId="58FF3619" w:rsidR="00EE021A" w:rsidRPr="00232EBB" w:rsidRDefault="00EE021A" w:rsidP="00822846">
            <w:pPr>
              <w:spacing w:after="0" w:line="240" w:lineRule="auto"/>
              <w:jc w:val="center"/>
              <w:rPr>
                <w:rFonts w:eastAsia="Calibri"/>
                <w:noProof/>
                <w:sz w:val="20"/>
                <w:szCs w:val="20"/>
                <w:lang w:val="es-ES"/>
              </w:rPr>
            </w:pPr>
            <w:r w:rsidRPr="00232EBB">
              <w:rPr>
                <w:sz w:val="20"/>
                <w:szCs w:val="20"/>
              </w:rPr>
              <w:t>55.70%</w:t>
            </w:r>
          </w:p>
        </w:tc>
      </w:tr>
      <w:tr w:rsidR="00EE021A" w:rsidRPr="00232EBB" w14:paraId="2A84E6B7" w14:textId="77777777" w:rsidTr="00822846">
        <w:trPr>
          <w:trHeight w:val="443"/>
          <w:jc w:val="center"/>
        </w:trPr>
        <w:tc>
          <w:tcPr>
            <w:tcW w:w="1436" w:type="dxa"/>
            <w:vAlign w:val="center"/>
            <w:hideMark/>
          </w:tcPr>
          <w:p w14:paraId="20D4EBB5" w14:textId="77777777" w:rsidR="00EE021A" w:rsidRPr="00232EBB" w:rsidRDefault="00EE021A" w:rsidP="00EE021A">
            <w:pPr>
              <w:spacing w:after="0" w:line="240" w:lineRule="auto"/>
              <w:jc w:val="center"/>
              <w:rPr>
                <w:rFonts w:eastAsia="Calibri"/>
                <w:noProof/>
                <w:sz w:val="20"/>
                <w:szCs w:val="20"/>
                <w:lang w:val="es-ES"/>
              </w:rPr>
            </w:pPr>
            <w:r w:rsidRPr="00232EBB">
              <w:rPr>
                <w:rFonts w:eastAsia="Calibri"/>
                <w:noProof/>
                <w:sz w:val="20"/>
                <w:szCs w:val="20"/>
                <w:lang w:val="es-ES"/>
              </w:rPr>
              <w:t>Pensionados y Jubilados Sector Salud</w:t>
            </w:r>
          </w:p>
        </w:tc>
        <w:tc>
          <w:tcPr>
            <w:tcW w:w="1936" w:type="dxa"/>
            <w:noWrap/>
            <w:vAlign w:val="center"/>
          </w:tcPr>
          <w:p w14:paraId="23634EA1" w14:textId="13D97B73" w:rsidR="00EE021A" w:rsidRPr="00232EBB" w:rsidRDefault="00EE021A" w:rsidP="00822846">
            <w:pPr>
              <w:spacing w:after="0" w:line="240" w:lineRule="auto"/>
              <w:jc w:val="center"/>
              <w:rPr>
                <w:rFonts w:eastAsia="Calibri"/>
                <w:noProof/>
                <w:sz w:val="20"/>
                <w:szCs w:val="20"/>
                <w:lang w:val="es-ES"/>
              </w:rPr>
            </w:pPr>
            <w:r w:rsidRPr="00232EBB">
              <w:rPr>
                <w:sz w:val="20"/>
                <w:szCs w:val="20"/>
              </w:rPr>
              <w:t>228,585,146.70</w:t>
            </w:r>
          </w:p>
        </w:tc>
        <w:tc>
          <w:tcPr>
            <w:tcW w:w="1936" w:type="dxa"/>
            <w:noWrap/>
            <w:vAlign w:val="center"/>
          </w:tcPr>
          <w:p w14:paraId="33CC4218" w14:textId="515171AA" w:rsidR="00EE021A" w:rsidRPr="00232EBB" w:rsidRDefault="00EE021A" w:rsidP="00822846">
            <w:pPr>
              <w:spacing w:after="0" w:line="240" w:lineRule="auto"/>
              <w:jc w:val="center"/>
              <w:rPr>
                <w:rFonts w:eastAsia="Calibri"/>
                <w:noProof/>
                <w:sz w:val="20"/>
                <w:szCs w:val="20"/>
                <w:lang w:val="es-ES"/>
              </w:rPr>
            </w:pPr>
            <w:r w:rsidRPr="00232EBB">
              <w:rPr>
                <w:sz w:val="20"/>
                <w:szCs w:val="20"/>
              </w:rPr>
              <w:t>157,452,735.88</w:t>
            </w:r>
          </w:p>
        </w:tc>
        <w:tc>
          <w:tcPr>
            <w:tcW w:w="1936" w:type="dxa"/>
            <w:noWrap/>
            <w:vAlign w:val="center"/>
          </w:tcPr>
          <w:p w14:paraId="3E1050C3" w14:textId="70A3E08B" w:rsidR="00EE021A" w:rsidRPr="00232EBB" w:rsidRDefault="00EE021A" w:rsidP="00822846">
            <w:pPr>
              <w:spacing w:after="0" w:line="240" w:lineRule="auto"/>
              <w:jc w:val="center"/>
              <w:rPr>
                <w:rFonts w:eastAsia="Calibri"/>
                <w:noProof/>
                <w:sz w:val="20"/>
                <w:szCs w:val="20"/>
                <w:lang w:val="es-ES"/>
              </w:rPr>
            </w:pPr>
            <w:r w:rsidRPr="00232EBB">
              <w:rPr>
                <w:sz w:val="20"/>
                <w:szCs w:val="20"/>
              </w:rPr>
              <w:t>71,132,410.82</w:t>
            </w:r>
          </w:p>
        </w:tc>
        <w:tc>
          <w:tcPr>
            <w:tcW w:w="1751" w:type="dxa"/>
            <w:noWrap/>
            <w:vAlign w:val="center"/>
          </w:tcPr>
          <w:p w14:paraId="12F70B9B" w14:textId="095084A4" w:rsidR="00EE021A" w:rsidRPr="00232EBB" w:rsidRDefault="00EE021A" w:rsidP="00822846">
            <w:pPr>
              <w:spacing w:after="0" w:line="240" w:lineRule="auto"/>
              <w:jc w:val="center"/>
              <w:rPr>
                <w:rFonts w:eastAsia="Calibri"/>
                <w:noProof/>
                <w:sz w:val="20"/>
                <w:szCs w:val="20"/>
                <w:lang w:val="es-ES"/>
              </w:rPr>
            </w:pPr>
            <w:r w:rsidRPr="00232EBB">
              <w:rPr>
                <w:sz w:val="20"/>
                <w:szCs w:val="20"/>
              </w:rPr>
              <w:t>45.18%</w:t>
            </w:r>
          </w:p>
        </w:tc>
      </w:tr>
      <w:tr w:rsidR="00EE021A" w:rsidRPr="00232EBB" w14:paraId="120DAB5E" w14:textId="77777777" w:rsidTr="00822846">
        <w:trPr>
          <w:trHeight w:val="443"/>
          <w:jc w:val="center"/>
        </w:trPr>
        <w:tc>
          <w:tcPr>
            <w:tcW w:w="1436" w:type="dxa"/>
            <w:vAlign w:val="center"/>
            <w:hideMark/>
          </w:tcPr>
          <w:p w14:paraId="4793D72B" w14:textId="77777777" w:rsidR="00EE021A" w:rsidRPr="00232EBB" w:rsidRDefault="00EE021A" w:rsidP="00EE021A">
            <w:pPr>
              <w:spacing w:after="0" w:line="240" w:lineRule="auto"/>
              <w:jc w:val="center"/>
              <w:rPr>
                <w:rFonts w:eastAsia="Calibri"/>
                <w:noProof/>
                <w:sz w:val="20"/>
                <w:szCs w:val="20"/>
                <w:lang w:val="es-ES"/>
              </w:rPr>
            </w:pPr>
            <w:r w:rsidRPr="00232EBB">
              <w:rPr>
                <w:rFonts w:eastAsia="Calibri"/>
                <w:noProof/>
                <w:sz w:val="20"/>
                <w:szCs w:val="20"/>
                <w:lang w:val="es-ES"/>
              </w:rPr>
              <w:t>Pensionados y Jubilados PN.</w:t>
            </w:r>
          </w:p>
        </w:tc>
        <w:tc>
          <w:tcPr>
            <w:tcW w:w="1936" w:type="dxa"/>
            <w:noWrap/>
            <w:vAlign w:val="center"/>
          </w:tcPr>
          <w:p w14:paraId="0DB25A8D" w14:textId="3C458B7A" w:rsidR="00EE021A" w:rsidRPr="00232EBB" w:rsidRDefault="00EE021A" w:rsidP="00822846">
            <w:pPr>
              <w:spacing w:after="0" w:line="240" w:lineRule="auto"/>
              <w:jc w:val="center"/>
              <w:rPr>
                <w:rFonts w:eastAsia="Calibri"/>
                <w:noProof/>
                <w:sz w:val="20"/>
                <w:szCs w:val="20"/>
                <w:lang w:val="es-ES"/>
              </w:rPr>
            </w:pPr>
            <w:r w:rsidRPr="00232EBB">
              <w:rPr>
                <w:sz w:val="20"/>
                <w:szCs w:val="20"/>
              </w:rPr>
              <w:t>733,253,438.05</w:t>
            </w:r>
          </w:p>
        </w:tc>
        <w:tc>
          <w:tcPr>
            <w:tcW w:w="1936" w:type="dxa"/>
            <w:noWrap/>
            <w:vAlign w:val="center"/>
          </w:tcPr>
          <w:p w14:paraId="0E48831B" w14:textId="71F846F6" w:rsidR="00EE021A" w:rsidRPr="00232EBB" w:rsidRDefault="00EE021A" w:rsidP="00822846">
            <w:pPr>
              <w:spacing w:after="0" w:line="240" w:lineRule="auto"/>
              <w:jc w:val="center"/>
              <w:rPr>
                <w:rFonts w:eastAsia="Calibri"/>
                <w:noProof/>
                <w:sz w:val="20"/>
                <w:szCs w:val="20"/>
                <w:lang w:val="es-ES"/>
              </w:rPr>
            </w:pPr>
            <w:r w:rsidRPr="00232EBB">
              <w:rPr>
                <w:sz w:val="20"/>
                <w:szCs w:val="20"/>
              </w:rPr>
              <w:t>530,108,232.09</w:t>
            </w:r>
          </w:p>
        </w:tc>
        <w:tc>
          <w:tcPr>
            <w:tcW w:w="1936" w:type="dxa"/>
            <w:noWrap/>
            <w:vAlign w:val="center"/>
          </w:tcPr>
          <w:p w14:paraId="0EDA58E9" w14:textId="65406B0F" w:rsidR="00EE021A" w:rsidRPr="00232EBB" w:rsidRDefault="00EE021A" w:rsidP="00822846">
            <w:pPr>
              <w:spacing w:after="0" w:line="240" w:lineRule="auto"/>
              <w:jc w:val="center"/>
              <w:rPr>
                <w:rFonts w:eastAsia="Calibri"/>
                <w:noProof/>
                <w:sz w:val="20"/>
                <w:szCs w:val="20"/>
                <w:lang w:val="es-ES"/>
              </w:rPr>
            </w:pPr>
            <w:r w:rsidRPr="00232EBB">
              <w:rPr>
                <w:sz w:val="20"/>
                <w:szCs w:val="20"/>
              </w:rPr>
              <w:t>203,145,205.96</w:t>
            </w:r>
          </w:p>
        </w:tc>
        <w:tc>
          <w:tcPr>
            <w:tcW w:w="1751" w:type="dxa"/>
            <w:noWrap/>
            <w:vAlign w:val="center"/>
          </w:tcPr>
          <w:p w14:paraId="69919BAA" w14:textId="143879E4" w:rsidR="00EE021A" w:rsidRPr="00232EBB" w:rsidRDefault="00EE021A" w:rsidP="00822846">
            <w:pPr>
              <w:spacing w:after="0" w:line="240" w:lineRule="auto"/>
              <w:jc w:val="center"/>
              <w:rPr>
                <w:rFonts w:eastAsia="Calibri"/>
                <w:noProof/>
                <w:sz w:val="20"/>
                <w:szCs w:val="20"/>
                <w:lang w:val="es-ES"/>
              </w:rPr>
            </w:pPr>
            <w:r w:rsidRPr="00232EBB">
              <w:rPr>
                <w:sz w:val="20"/>
                <w:szCs w:val="20"/>
              </w:rPr>
              <w:t>38.32%</w:t>
            </w:r>
          </w:p>
        </w:tc>
      </w:tr>
      <w:tr w:rsidR="00EE021A" w:rsidRPr="00232EBB" w14:paraId="293D0B43" w14:textId="77777777" w:rsidTr="00822846">
        <w:trPr>
          <w:trHeight w:val="661"/>
          <w:jc w:val="center"/>
        </w:trPr>
        <w:tc>
          <w:tcPr>
            <w:tcW w:w="1436" w:type="dxa"/>
            <w:vAlign w:val="center"/>
            <w:hideMark/>
          </w:tcPr>
          <w:p w14:paraId="3173EA20" w14:textId="77777777" w:rsidR="00EE021A" w:rsidRPr="00232EBB" w:rsidRDefault="00EE021A" w:rsidP="00EE021A">
            <w:pPr>
              <w:spacing w:after="0" w:line="240" w:lineRule="auto"/>
              <w:jc w:val="center"/>
              <w:rPr>
                <w:rFonts w:eastAsia="Calibri"/>
                <w:noProof/>
                <w:sz w:val="20"/>
                <w:szCs w:val="20"/>
                <w:lang w:val="es-ES"/>
              </w:rPr>
            </w:pPr>
            <w:r w:rsidRPr="00232EBB">
              <w:rPr>
                <w:rFonts w:eastAsia="Calibri"/>
                <w:noProof/>
                <w:sz w:val="20"/>
                <w:szCs w:val="20"/>
                <w:lang w:val="es-ES"/>
              </w:rPr>
              <w:t>Pensionados Y Jubilados de Hacienda (Decreto 342-09)</w:t>
            </w:r>
          </w:p>
        </w:tc>
        <w:tc>
          <w:tcPr>
            <w:tcW w:w="1936" w:type="dxa"/>
            <w:noWrap/>
            <w:vAlign w:val="center"/>
          </w:tcPr>
          <w:p w14:paraId="46E99136" w14:textId="4801718B" w:rsidR="00EE021A" w:rsidRPr="00232EBB" w:rsidRDefault="00EE021A" w:rsidP="00822846">
            <w:pPr>
              <w:spacing w:after="0" w:line="240" w:lineRule="auto"/>
              <w:jc w:val="center"/>
              <w:rPr>
                <w:rFonts w:eastAsia="Calibri"/>
                <w:noProof/>
                <w:sz w:val="20"/>
                <w:szCs w:val="20"/>
                <w:lang w:val="es-ES"/>
              </w:rPr>
            </w:pPr>
            <w:r w:rsidRPr="00232EBB">
              <w:rPr>
                <w:sz w:val="20"/>
                <w:szCs w:val="20"/>
              </w:rPr>
              <w:t>608,300,548.95</w:t>
            </w:r>
          </w:p>
        </w:tc>
        <w:tc>
          <w:tcPr>
            <w:tcW w:w="1936" w:type="dxa"/>
            <w:noWrap/>
            <w:vAlign w:val="center"/>
          </w:tcPr>
          <w:p w14:paraId="09749851" w14:textId="5F2B9EBD" w:rsidR="00EE021A" w:rsidRPr="00232EBB" w:rsidRDefault="00EE021A" w:rsidP="00822846">
            <w:pPr>
              <w:spacing w:after="0" w:line="240" w:lineRule="auto"/>
              <w:jc w:val="center"/>
              <w:rPr>
                <w:rFonts w:eastAsia="Calibri"/>
                <w:noProof/>
                <w:sz w:val="20"/>
                <w:szCs w:val="20"/>
                <w:lang w:val="es-ES"/>
              </w:rPr>
            </w:pPr>
            <w:r w:rsidRPr="00232EBB">
              <w:rPr>
                <w:sz w:val="20"/>
                <w:szCs w:val="20"/>
              </w:rPr>
              <w:t>377,404,196.35</w:t>
            </w:r>
          </w:p>
        </w:tc>
        <w:tc>
          <w:tcPr>
            <w:tcW w:w="1936" w:type="dxa"/>
            <w:noWrap/>
            <w:vAlign w:val="center"/>
          </w:tcPr>
          <w:p w14:paraId="59040AC7" w14:textId="68815C21" w:rsidR="00EE021A" w:rsidRPr="00232EBB" w:rsidRDefault="00EE021A" w:rsidP="00822846">
            <w:pPr>
              <w:spacing w:after="0" w:line="240" w:lineRule="auto"/>
              <w:jc w:val="center"/>
              <w:rPr>
                <w:rFonts w:eastAsia="Calibri"/>
                <w:noProof/>
                <w:sz w:val="20"/>
                <w:szCs w:val="20"/>
                <w:lang w:val="es-ES"/>
              </w:rPr>
            </w:pPr>
            <w:r w:rsidRPr="00232EBB">
              <w:rPr>
                <w:sz w:val="20"/>
                <w:szCs w:val="20"/>
              </w:rPr>
              <w:t>230,896,352.60</w:t>
            </w:r>
          </w:p>
        </w:tc>
        <w:tc>
          <w:tcPr>
            <w:tcW w:w="1751" w:type="dxa"/>
            <w:noWrap/>
            <w:vAlign w:val="center"/>
          </w:tcPr>
          <w:p w14:paraId="0B1E6CB5" w14:textId="4B8CA049" w:rsidR="00EE021A" w:rsidRPr="00232EBB" w:rsidRDefault="00EE021A" w:rsidP="00822846">
            <w:pPr>
              <w:spacing w:after="0" w:line="240" w:lineRule="auto"/>
              <w:jc w:val="center"/>
              <w:rPr>
                <w:rFonts w:eastAsia="Calibri"/>
                <w:noProof/>
                <w:sz w:val="20"/>
                <w:szCs w:val="20"/>
                <w:lang w:val="es-ES"/>
              </w:rPr>
            </w:pPr>
            <w:r w:rsidRPr="00232EBB">
              <w:rPr>
                <w:sz w:val="20"/>
                <w:szCs w:val="20"/>
              </w:rPr>
              <w:t>61.18%</w:t>
            </w:r>
          </w:p>
        </w:tc>
      </w:tr>
      <w:tr w:rsidR="00EE021A" w:rsidRPr="00232EBB" w14:paraId="2FCDF695" w14:textId="77777777" w:rsidTr="00822846">
        <w:trPr>
          <w:trHeight w:val="661"/>
          <w:jc w:val="center"/>
        </w:trPr>
        <w:tc>
          <w:tcPr>
            <w:tcW w:w="1436" w:type="dxa"/>
            <w:vAlign w:val="center"/>
            <w:hideMark/>
          </w:tcPr>
          <w:p w14:paraId="25E5C2F6" w14:textId="77777777" w:rsidR="00EE021A" w:rsidRPr="00232EBB" w:rsidRDefault="00EE021A" w:rsidP="00EE021A">
            <w:pPr>
              <w:spacing w:after="0" w:line="240" w:lineRule="auto"/>
              <w:jc w:val="center"/>
              <w:rPr>
                <w:rFonts w:eastAsia="Calibri"/>
                <w:noProof/>
                <w:sz w:val="20"/>
                <w:szCs w:val="20"/>
                <w:lang w:val="es-ES"/>
              </w:rPr>
            </w:pPr>
            <w:r w:rsidRPr="00232EBB">
              <w:rPr>
                <w:rFonts w:eastAsia="Calibri"/>
                <w:noProof/>
                <w:sz w:val="20"/>
                <w:szCs w:val="20"/>
                <w:lang w:val="es-ES"/>
              </w:rPr>
              <w:lastRenderedPageBreak/>
              <w:t>Pensionados y Jubilados del Estado (Decreto 18-19)</w:t>
            </w:r>
          </w:p>
        </w:tc>
        <w:tc>
          <w:tcPr>
            <w:tcW w:w="1936" w:type="dxa"/>
            <w:noWrap/>
            <w:vAlign w:val="center"/>
          </w:tcPr>
          <w:p w14:paraId="7A7524FD" w14:textId="7DFFA032" w:rsidR="00EE021A" w:rsidRPr="00232EBB" w:rsidRDefault="00EE021A" w:rsidP="00822846">
            <w:pPr>
              <w:spacing w:after="0" w:line="240" w:lineRule="auto"/>
              <w:jc w:val="center"/>
              <w:rPr>
                <w:rFonts w:eastAsia="Calibri"/>
                <w:noProof/>
                <w:sz w:val="20"/>
                <w:szCs w:val="20"/>
                <w:lang w:val="es-ES"/>
              </w:rPr>
            </w:pPr>
            <w:r w:rsidRPr="00232EBB">
              <w:rPr>
                <w:sz w:val="20"/>
                <w:szCs w:val="20"/>
              </w:rPr>
              <w:t>797,945,906.08</w:t>
            </w:r>
          </w:p>
        </w:tc>
        <w:tc>
          <w:tcPr>
            <w:tcW w:w="1936" w:type="dxa"/>
            <w:noWrap/>
            <w:vAlign w:val="center"/>
          </w:tcPr>
          <w:p w14:paraId="7B190501" w14:textId="009CEA5A" w:rsidR="00EE021A" w:rsidRPr="00232EBB" w:rsidRDefault="00EE021A" w:rsidP="00822846">
            <w:pPr>
              <w:spacing w:after="0" w:line="240" w:lineRule="auto"/>
              <w:jc w:val="center"/>
              <w:rPr>
                <w:rFonts w:eastAsia="Calibri"/>
                <w:noProof/>
                <w:sz w:val="20"/>
                <w:szCs w:val="20"/>
                <w:lang w:val="es-ES"/>
              </w:rPr>
            </w:pPr>
            <w:r w:rsidRPr="00232EBB">
              <w:rPr>
                <w:sz w:val="20"/>
                <w:szCs w:val="20"/>
              </w:rPr>
              <w:t>486,549,910.34</w:t>
            </w:r>
          </w:p>
        </w:tc>
        <w:tc>
          <w:tcPr>
            <w:tcW w:w="1936" w:type="dxa"/>
            <w:noWrap/>
            <w:vAlign w:val="center"/>
          </w:tcPr>
          <w:p w14:paraId="09E1E463" w14:textId="3F8A40B8" w:rsidR="00EE021A" w:rsidRPr="00232EBB" w:rsidRDefault="00EE021A" w:rsidP="00822846">
            <w:pPr>
              <w:spacing w:after="0" w:line="240" w:lineRule="auto"/>
              <w:jc w:val="center"/>
              <w:rPr>
                <w:rFonts w:eastAsia="Calibri"/>
                <w:noProof/>
                <w:sz w:val="20"/>
                <w:szCs w:val="20"/>
                <w:lang w:val="es-ES"/>
              </w:rPr>
            </w:pPr>
            <w:r w:rsidRPr="00232EBB">
              <w:rPr>
                <w:sz w:val="20"/>
                <w:szCs w:val="20"/>
              </w:rPr>
              <w:t>311,395,995.74</w:t>
            </w:r>
          </w:p>
        </w:tc>
        <w:tc>
          <w:tcPr>
            <w:tcW w:w="1751" w:type="dxa"/>
            <w:noWrap/>
            <w:vAlign w:val="center"/>
          </w:tcPr>
          <w:p w14:paraId="3A036888" w14:textId="2E752E18" w:rsidR="00EE021A" w:rsidRPr="00232EBB" w:rsidRDefault="00EE021A" w:rsidP="00822846">
            <w:pPr>
              <w:spacing w:after="0" w:line="240" w:lineRule="auto"/>
              <w:jc w:val="center"/>
              <w:rPr>
                <w:rFonts w:eastAsia="Calibri"/>
                <w:noProof/>
                <w:sz w:val="20"/>
                <w:szCs w:val="20"/>
                <w:lang w:val="es-ES"/>
              </w:rPr>
            </w:pPr>
            <w:r w:rsidRPr="00232EBB">
              <w:rPr>
                <w:sz w:val="20"/>
                <w:szCs w:val="20"/>
              </w:rPr>
              <w:t>64.00%</w:t>
            </w:r>
          </w:p>
        </w:tc>
      </w:tr>
      <w:tr w:rsidR="00EE021A" w:rsidRPr="00232EBB" w14:paraId="5C9CAF4B" w14:textId="77777777" w:rsidTr="00822846">
        <w:trPr>
          <w:trHeight w:val="476"/>
          <w:jc w:val="center"/>
        </w:trPr>
        <w:tc>
          <w:tcPr>
            <w:tcW w:w="1436" w:type="dxa"/>
            <w:vAlign w:val="center"/>
            <w:hideMark/>
          </w:tcPr>
          <w:p w14:paraId="0B798F6B" w14:textId="58FFAF1D" w:rsidR="00EE021A" w:rsidRPr="00232EBB" w:rsidRDefault="00EE021A" w:rsidP="00EE021A">
            <w:pPr>
              <w:spacing w:after="0" w:line="240" w:lineRule="auto"/>
              <w:jc w:val="center"/>
              <w:rPr>
                <w:rFonts w:eastAsia="Calibri"/>
                <w:b/>
                <w:bCs/>
                <w:noProof/>
                <w:sz w:val="20"/>
                <w:szCs w:val="20"/>
                <w:lang w:val="es-ES"/>
              </w:rPr>
            </w:pPr>
            <w:r w:rsidRPr="00232EBB">
              <w:rPr>
                <w:rFonts w:eastAsia="Calibri"/>
                <w:b/>
                <w:bCs/>
                <w:noProof/>
                <w:sz w:val="20"/>
                <w:szCs w:val="20"/>
                <w:lang w:val="es-ES"/>
              </w:rPr>
              <w:t>TOTALES</w:t>
            </w:r>
          </w:p>
        </w:tc>
        <w:tc>
          <w:tcPr>
            <w:tcW w:w="1936" w:type="dxa"/>
            <w:noWrap/>
            <w:vAlign w:val="center"/>
          </w:tcPr>
          <w:p w14:paraId="517FB4D1" w14:textId="2C1C345F" w:rsidR="00EE021A" w:rsidRPr="00232EBB" w:rsidRDefault="00EE021A" w:rsidP="00822846">
            <w:pPr>
              <w:spacing w:after="0" w:line="240" w:lineRule="auto"/>
              <w:jc w:val="center"/>
              <w:rPr>
                <w:rFonts w:eastAsia="Calibri"/>
                <w:b/>
                <w:bCs/>
                <w:noProof/>
                <w:sz w:val="20"/>
                <w:szCs w:val="20"/>
                <w:lang w:val="es-ES"/>
              </w:rPr>
            </w:pPr>
            <w:r w:rsidRPr="00232EBB">
              <w:rPr>
                <w:sz w:val="20"/>
                <w:szCs w:val="20"/>
              </w:rPr>
              <w:t>3,172,587,179.18</w:t>
            </w:r>
          </w:p>
        </w:tc>
        <w:tc>
          <w:tcPr>
            <w:tcW w:w="1936" w:type="dxa"/>
            <w:noWrap/>
            <w:vAlign w:val="center"/>
          </w:tcPr>
          <w:p w14:paraId="2B489191" w14:textId="34E4583D" w:rsidR="00EE021A" w:rsidRPr="00232EBB" w:rsidRDefault="00EE021A" w:rsidP="00822846">
            <w:pPr>
              <w:spacing w:after="0" w:line="240" w:lineRule="auto"/>
              <w:jc w:val="center"/>
              <w:rPr>
                <w:rFonts w:eastAsia="Calibri"/>
                <w:b/>
                <w:bCs/>
                <w:noProof/>
                <w:sz w:val="20"/>
                <w:szCs w:val="20"/>
                <w:lang w:val="es-ES"/>
              </w:rPr>
            </w:pPr>
            <w:r w:rsidRPr="00232EBB">
              <w:rPr>
                <w:sz w:val="20"/>
                <w:szCs w:val="20"/>
              </w:rPr>
              <w:t>2,068,211,416.74</w:t>
            </w:r>
          </w:p>
        </w:tc>
        <w:tc>
          <w:tcPr>
            <w:tcW w:w="1936" w:type="dxa"/>
            <w:noWrap/>
            <w:vAlign w:val="center"/>
          </w:tcPr>
          <w:p w14:paraId="1A0520C6" w14:textId="768417C3" w:rsidR="00EE021A" w:rsidRPr="00232EBB" w:rsidRDefault="00EE021A" w:rsidP="00822846">
            <w:pPr>
              <w:spacing w:after="0" w:line="240" w:lineRule="auto"/>
              <w:jc w:val="center"/>
              <w:rPr>
                <w:rFonts w:eastAsia="Calibri"/>
                <w:b/>
                <w:bCs/>
                <w:noProof/>
                <w:sz w:val="20"/>
                <w:szCs w:val="20"/>
                <w:lang w:val="es-ES"/>
              </w:rPr>
            </w:pPr>
            <w:r w:rsidRPr="00232EBB">
              <w:rPr>
                <w:sz w:val="20"/>
                <w:szCs w:val="20"/>
              </w:rPr>
              <w:t>1,104,375,762.44</w:t>
            </w:r>
          </w:p>
        </w:tc>
        <w:tc>
          <w:tcPr>
            <w:tcW w:w="1751" w:type="dxa"/>
            <w:noWrap/>
            <w:vAlign w:val="center"/>
          </w:tcPr>
          <w:p w14:paraId="51C70F24" w14:textId="389E4FA9" w:rsidR="00EE021A" w:rsidRPr="00232EBB" w:rsidRDefault="00EE021A" w:rsidP="00822846">
            <w:pPr>
              <w:spacing w:after="0" w:line="240" w:lineRule="auto"/>
              <w:jc w:val="center"/>
              <w:rPr>
                <w:rFonts w:eastAsia="Calibri"/>
                <w:b/>
                <w:bCs/>
                <w:noProof/>
                <w:sz w:val="20"/>
                <w:szCs w:val="20"/>
                <w:lang w:val="es-ES"/>
              </w:rPr>
            </w:pPr>
            <w:r w:rsidRPr="00232EBB">
              <w:rPr>
                <w:sz w:val="20"/>
                <w:szCs w:val="20"/>
              </w:rPr>
              <w:t>53.40%</w:t>
            </w:r>
          </w:p>
        </w:tc>
      </w:tr>
    </w:tbl>
    <w:p w14:paraId="29140944" w14:textId="2E0B2610" w:rsidR="00041B32" w:rsidRDefault="00041B32" w:rsidP="00B715E3">
      <w:pPr>
        <w:pStyle w:val="xxmsonormal"/>
        <w:ind w:left="-90"/>
        <w:jc w:val="both"/>
        <w:rPr>
          <w:rFonts w:ascii="Times New Roman" w:eastAsia="Calibri" w:hAnsi="Times New Roman" w:cs="Times New Roman"/>
          <w:noProof/>
          <w:color w:val="767171"/>
          <w:spacing w:val="20"/>
          <w:sz w:val="18"/>
          <w:szCs w:val="18"/>
          <w:lang w:eastAsia="en-US"/>
        </w:rPr>
      </w:pPr>
      <w:r w:rsidRPr="00232EBB">
        <w:rPr>
          <w:rFonts w:ascii="Times New Roman" w:eastAsia="Calibri" w:hAnsi="Times New Roman" w:cs="Times New Roman"/>
          <w:b/>
          <w:bCs/>
          <w:noProof/>
          <w:color w:val="767171"/>
          <w:spacing w:val="20"/>
          <w:sz w:val="18"/>
          <w:szCs w:val="18"/>
          <w:lang w:eastAsia="en-US"/>
        </w:rPr>
        <w:t xml:space="preserve">Tabla </w:t>
      </w:r>
      <w:r w:rsidR="007B5587" w:rsidRPr="00232EBB">
        <w:rPr>
          <w:rFonts w:ascii="Times New Roman" w:eastAsia="Calibri" w:hAnsi="Times New Roman" w:cs="Times New Roman"/>
          <w:b/>
          <w:bCs/>
          <w:noProof/>
          <w:color w:val="767171"/>
          <w:spacing w:val="20"/>
          <w:sz w:val="18"/>
          <w:szCs w:val="18"/>
          <w:lang w:eastAsia="en-US"/>
        </w:rPr>
        <w:t>8</w:t>
      </w:r>
      <w:r w:rsidRPr="00232EBB">
        <w:rPr>
          <w:rFonts w:ascii="Times New Roman" w:eastAsia="Calibri" w:hAnsi="Times New Roman" w:cs="Times New Roman"/>
          <w:noProof/>
          <w:color w:val="767171"/>
          <w:spacing w:val="20"/>
          <w:sz w:val="18"/>
          <w:szCs w:val="18"/>
          <w:lang w:eastAsia="en-US"/>
        </w:rPr>
        <w:t>: Planes Especiales Transitorios de Servicio de Salud  enero-</w:t>
      </w:r>
      <w:r w:rsidR="00EE021A" w:rsidRPr="00232EBB">
        <w:rPr>
          <w:rFonts w:ascii="Times New Roman" w:eastAsia="Calibri" w:hAnsi="Times New Roman" w:cs="Times New Roman"/>
          <w:noProof/>
          <w:color w:val="767171"/>
          <w:spacing w:val="20"/>
          <w:sz w:val="18"/>
          <w:szCs w:val="18"/>
          <w:lang w:eastAsia="en-US"/>
        </w:rPr>
        <w:t>dic</w:t>
      </w:r>
      <w:r w:rsidR="00413FED" w:rsidRPr="00232EBB">
        <w:rPr>
          <w:rFonts w:ascii="Times New Roman" w:eastAsia="Calibri" w:hAnsi="Times New Roman" w:cs="Times New Roman"/>
          <w:noProof/>
          <w:color w:val="767171"/>
          <w:spacing w:val="20"/>
          <w:sz w:val="18"/>
          <w:szCs w:val="18"/>
          <w:lang w:eastAsia="en-US"/>
        </w:rPr>
        <w:t>iem</w:t>
      </w:r>
      <w:r w:rsidRPr="00232EBB">
        <w:rPr>
          <w:rFonts w:ascii="Times New Roman" w:eastAsia="Calibri" w:hAnsi="Times New Roman" w:cs="Times New Roman"/>
          <w:noProof/>
          <w:color w:val="767171"/>
          <w:spacing w:val="20"/>
          <w:sz w:val="18"/>
          <w:szCs w:val="18"/>
          <w:lang w:eastAsia="en-US"/>
        </w:rPr>
        <w:t>bre 202</w:t>
      </w:r>
      <w:r w:rsidR="00413FED" w:rsidRPr="00232EBB">
        <w:rPr>
          <w:rFonts w:ascii="Times New Roman" w:eastAsia="Calibri" w:hAnsi="Times New Roman" w:cs="Times New Roman"/>
          <w:noProof/>
          <w:color w:val="767171"/>
          <w:spacing w:val="20"/>
          <w:sz w:val="18"/>
          <w:szCs w:val="18"/>
          <w:lang w:eastAsia="en-US"/>
        </w:rPr>
        <w:t>5</w:t>
      </w:r>
      <w:r w:rsidRPr="00232EBB">
        <w:rPr>
          <w:rFonts w:ascii="Times New Roman" w:eastAsia="Calibri" w:hAnsi="Times New Roman" w:cs="Times New Roman"/>
          <w:noProof/>
          <w:color w:val="767171"/>
          <w:spacing w:val="20"/>
          <w:sz w:val="18"/>
          <w:szCs w:val="18"/>
          <w:lang w:eastAsia="en-US"/>
        </w:rPr>
        <w:t>.</w:t>
      </w:r>
    </w:p>
    <w:p w14:paraId="107C091D" w14:textId="77777777" w:rsidR="00E27BAB" w:rsidRDefault="00E27BAB" w:rsidP="00B715E3">
      <w:pPr>
        <w:pStyle w:val="xxmsonormal"/>
        <w:ind w:left="-90"/>
        <w:jc w:val="both"/>
        <w:rPr>
          <w:rFonts w:ascii="Times New Roman" w:eastAsia="Calibri" w:hAnsi="Times New Roman" w:cs="Times New Roman"/>
          <w:noProof/>
          <w:color w:val="767171"/>
          <w:spacing w:val="20"/>
          <w:sz w:val="18"/>
          <w:szCs w:val="18"/>
          <w:lang w:eastAsia="en-US"/>
        </w:rPr>
      </w:pPr>
    </w:p>
    <w:p w14:paraId="7660AF33" w14:textId="77777777" w:rsidR="00E27BAB" w:rsidRDefault="00E27BAB" w:rsidP="00B715E3">
      <w:pPr>
        <w:pStyle w:val="xxmsonormal"/>
        <w:ind w:left="-90"/>
        <w:jc w:val="both"/>
        <w:rPr>
          <w:rFonts w:ascii="Times New Roman" w:eastAsia="Calibri" w:hAnsi="Times New Roman" w:cs="Times New Roman"/>
          <w:noProof/>
          <w:color w:val="767171"/>
          <w:spacing w:val="20"/>
          <w:sz w:val="18"/>
          <w:szCs w:val="18"/>
          <w:lang w:eastAsia="en-US"/>
        </w:rPr>
      </w:pPr>
    </w:p>
    <w:tbl>
      <w:tblPr>
        <w:tblW w:w="10102" w:type="dxa"/>
        <w:jc w:val="center"/>
        <w:tblLook w:val="04A0" w:firstRow="1" w:lastRow="0" w:firstColumn="1" w:lastColumn="0" w:noHBand="0" w:noVBand="1"/>
      </w:tblPr>
      <w:tblGrid>
        <w:gridCol w:w="2215"/>
        <w:gridCol w:w="2274"/>
        <w:gridCol w:w="2119"/>
        <w:gridCol w:w="1853"/>
        <w:gridCol w:w="1641"/>
      </w:tblGrid>
      <w:tr w:rsidR="00E27BAB" w:rsidRPr="003726B1" w14:paraId="4720DBA5" w14:textId="77777777" w:rsidTr="00D85D82">
        <w:trPr>
          <w:trHeight w:val="341"/>
          <w:tblHeader/>
          <w:jc w:val="center"/>
        </w:trPr>
        <w:tc>
          <w:tcPr>
            <w:tcW w:w="2215" w:type="dxa"/>
            <w:tcBorders>
              <w:top w:val="single" w:sz="8" w:space="0" w:color="auto"/>
              <w:left w:val="single" w:sz="8" w:space="0" w:color="auto"/>
              <w:bottom w:val="single" w:sz="8" w:space="0" w:color="auto"/>
              <w:right w:val="single" w:sz="8" w:space="0" w:color="auto"/>
            </w:tcBorders>
            <w:shd w:val="clear" w:color="000000" w:fill="1F3864"/>
            <w:noWrap/>
            <w:vAlign w:val="center"/>
            <w:hideMark/>
          </w:tcPr>
          <w:p w14:paraId="73E8FC83" w14:textId="77777777" w:rsidR="00E27BAB" w:rsidRPr="003726B1" w:rsidRDefault="00E27BAB" w:rsidP="00D85D82">
            <w:pPr>
              <w:spacing w:after="0" w:line="240" w:lineRule="auto"/>
              <w:jc w:val="center"/>
              <w:rPr>
                <w:rFonts w:eastAsia="Calibri"/>
                <w:noProof/>
                <w:spacing w:val="0"/>
                <w:lang w:val="es-DO"/>
              </w:rPr>
            </w:pPr>
            <w:r w:rsidRPr="000B2C1B">
              <w:rPr>
                <w:rFonts w:eastAsia="Calibri"/>
                <w:noProof/>
                <w:color w:val="FFFFFF" w:themeColor="background1"/>
                <w:spacing w:val="0"/>
                <w:lang w:val="es-DO"/>
              </w:rPr>
              <w:t xml:space="preserve">Detalles </w:t>
            </w:r>
          </w:p>
        </w:tc>
        <w:tc>
          <w:tcPr>
            <w:tcW w:w="2274" w:type="dxa"/>
            <w:tcBorders>
              <w:top w:val="single" w:sz="8" w:space="0" w:color="auto"/>
              <w:left w:val="nil"/>
              <w:bottom w:val="single" w:sz="8" w:space="0" w:color="auto"/>
              <w:right w:val="single" w:sz="8" w:space="0" w:color="auto"/>
            </w:tcBorders>
            <w:shd w:val="clear" w:color="000000" w:fill="1F3864"/>
            <w:noWrap/>
            <w:vAlign w:val="center"/>
            <w:hideMark/>
          </w:tcPr>
          <w:p w14:paraId="4C2C1DFB" w14:textId="77777777" w:rsidR="00E27BAB" w:rsidRPr="003726B1" w:rsidRDefault="00E27BAB" w:rsidP="00D85D82">
            <w:pPr>
              <w:spacing w:after="0" w:line="240" w:lineRule="auto"/>
              <w:jc w:val="center"/>
              <w:rPr>
                <w:rFonts w:eastAsia="Calibri"/>
                <w:noProof/>
                <w:spacing w:val="0"/>
                <w:lang w:val="es-DO"/>
              </w:rPr>
            </w:pPr>
            <w:r w:rsidRPr="000B2C1B">
              <w:rPr>
                <w:rFonts w:eastAsia="Calibri"/>
                <w:noProof/>
                <w:color w:val="FFFFFF" w:themeColor="background1"/>
                <w:spacing w:val="0"/>
                <w:lang w:val="es-DO"/>
              </w:rPr>
              <w:t>2025</w:t>
            </w:r>
          </w:p>
        </w:tc>
        <w:tc>
          <w:tcPr>
            <w:tcW w:w="2119" w:type="dxa"/>
            <w:tcBorders>
              <w:top w:val="single" w:sz="8" w:space="0" w:color="auto"/>
              <w:left w:val="nil"/>
              <w:bottom w:val="single" w:sz="8" w:space="0" w:color="auto"/>
              <w:right w:val="single" w:sz="8" w:space="0" w:color="auto"/>
            </w:tcBorders>
            <w:shd w:val="clear" w:color="000000" w:fill="1F3864"/>
            <w:noWrap/>
            <w:vAlign w:val="center"/>
            <w:hideMark/>
          </w:tcPr>
          <w:p w14:paraId="538711B4" w14:textId="77777777" w:rsidR="00E27BAB" w:rsidRPr="003726B1" w:rsidRDefault="00E27BAB" w:rsidP="00D85D82">
            <w:pPr>
              <w:spacing w:after="0" w:line="240" w:lineRule="auto"/>
              <w:jc w:val="center"/>
              <w:rPr>
                <w:rFonts w:eastAsia="Calibri"/>
                <w:noProof/>
                <w:spacing w:val="0"/>
                <w:lang w:val="es-DO"/>
              </w:rPr>
            </w:pPr>
            <w:r w:rsidRPr="000B2C1B">
              <w:rPr>
                <w:rFonts w:eastAsia="Calibri"/>
                <w:noProof/>
                <w:color w:val="FFFFFF" w:themeColor="background1"/>
                <w:spacing w:val="0"/>
                <w:lang w:val="es-DO"/>
              </w:rPr>
              <w:t>2024</w:t>
            </w:r>
          </w:p>
        </w:tc>
        <w:tc>
          <w:tcPr>
            <w:tcW w:w="1853" w:type="dxa"/>
            <w:tcBorders>
              <w:top w:val="single" w:sz="8" w:space="0" w:color="auto"/>
              <w:left w:val="nil"/>
              <w:bottom w:val="single" w:sz="8" w:space="0" w:color="auto"/>
              <w:right w:val="single" w:sz="8" w:space="0" w:color="auto"/>
            </w:tcBorders>
            <w:shd w:val="clear" w:color="000000" w:fill="1F3864"/>
            <w:noWrap/>
            <w:vAlign w:val="center"/>
            <w:hideMark/>
          </w:tcPr>
          <w:p w14:paraId="7FBF1954" w14:textId="77777777" w:rsidR="00E27BAB" w:rsidRPr="003726B1" w:rsidRDefault="00E27BAB" w:rsidP="00D85D82">
            <w:pPr>
              <w:spacing w:after="0" w:line="240" w:lineRule="auto"/>
              <w:jc w:val="center"/>
              <w:rPr>
                <w:rFonts w:eastAsia="Calibri"/>
                <w:noProof/>
                <w:spacing w:val="0"/>
                <w:lang w:val="es-DO"/>
              </w:rPr>
            </w:pPr>
            <w:r w:rsidRPr="000B2C1B">
              <w:rPr>
                <w:rFonts w:eastAsia="Calibri"/>
                <w:noProof/>
                <w:color w:val="FFFFFF" w:themeColor="background1"/>
                <w:spacing w:val="0"/>
                <w:lang w:val="es-DO"/>
              </w:rPr>
              <w:t>Variación</w:t>
            </w:r>
          </w:p>
        </w:tc>
        <w:tc>
          <w:tcPr>
            <w:tcW w:w="1641" w:type="dxa"/>
            <w:tcBorders>
              <w:top w:val="single" w:sz="8" w:space="0" w:color="auto"/>
              <w:left w:val="nil"/>
              <w:bottom w:val="single" w:sz="8" w:space="0" w:color="auto"/>
              <w:right w:val="single" w:sz="8" w:space="0" w:color="auto"/>
            </w:tcBorders>
            <w:shd w:val="clear" w:color="000000" w:fill="1F3864"/>
            <w:noWrap/>
            <w:vAlign w:val="center"/>
            <w:hideMark/>
          </w:tcPr>
          <w:p w14:paraId="613B9DC8" w14:textId="77777777" w:rsidR="00E27BAB" w:rsidRPr="003726B1" w:rsidRDefault="00E27BAB" w:rsidP="00D85D82">
            <w:pPr>
              <w:spacing w:after="0" w:line="240" w:lineRule="auto"/>
              <w:jc w:val="center"/>
              <w:rPr>
                <w:rFonts w:eastAsia="Calibri"/>
                <w:noProof/>
                <w:spacing w:val="0"/>
                <w:lang w:val="es-DO"/>
              </w:rPr>
            </w:pPr>
            <w:r w:rsidRPr="000B2C1B">
              <w:rPr>
                <w:rFonts w:eastAsia="Calibri"/>
                <w:noProof/>
                <w:color w:val="FFFFFF" w:themeColor="background1"/>
                <w:spacing w:val="0"/>
                <w:lang w:val="es-DO"/>
              </w:rPr>
              <w:t>%</w:t>
            </w:r>
          </w:p>
        </w:tc>
      </w:tr>
      <w:tr w:rsidR="00E27BAB" w:rsidRPr="003726B1" w14:paraId="038427F6" w14:textId="77777777" w:rsidTr="00D85D82">
        <w:trPr>
          <w:trHeight w:val="544"/>
          <w:jc w:val="center"/>
        </w:trPr>
        <w:tc>
          <w:tcPr>
            <w:tcW w:w="2215" w:type="dxa"/>
            <w:tcBorders>
              <w:top w:val="nil"/>
              <w:left w:val="single" w:sz="8" w:space="0" w:color="auto"/>
              <w:bottom w:val="single" w:sz="8" w:space="0" w:color="auto"/>
              <w:right w:val="single" w:sz="8" w:space="0" w:color="auto"/>
            </w:tcBorders>
            <w:vAlign w:val="center"/>
            <w:hideMark/>
          </w:tcPr>
          <w:p w14:paraId="5297288D" w14:textId="77777777" w:rsidR="00E27BAB" w:rsidRPr="003726B1" w:rsidRDefault="00E27BAB" w:rsidP="00D85D82">
            <w:pPr>
              <w:spacing w:after="0" w:line="240" w:lineRule="auto"/>
              <w:jc w:val="center"/>
              <w:rPr>
                <w:rFonts w:eastAsia="Calibri"/>
                <w:noProof/>
                <w:spacing w:val="0"/>
                <w:lang w:val="es-DO"/>
              </w:rPr>
            </w:pPr>
            <w:r w:rsidRPr="003726B1">
              <w:rPr>
                <w:rFonts w:eastAsia="Calibri"/>
                <w:noProof/>
                <w:spacing w:val="0"/>
                <w:lang w:val="es-DO"/>
              </w:rPr>
              <w:t xml:space="preserve">Pensionados y Jubilados P. N. </w:t>
            </w:r>
          </w:p>
        </w:tc>
        <w:tc>
          <w:tcPr>
            <w:tcW w:w="2274" w:type="dxa"/>
            <w:tcBorders>
              <w:top w:val="nil"/>
              <w:left w:val="nil"/>
              <w:bottom w:val="single" w:sz="8" w:space="0" w:color="auto"/>
              <w:right w:val="single" w:sz="8" w:space="0" w:color="auto"/>
            </w:tcBorders>
            <w:noWrap/>
            <w:vAlign w:val="center"/>
            <w:hideMark/>
          </w:tcPr>
          <w:p w14:paraId="0BFB7A60" w14:textId="77777777" w:rsidR="00E27BAB" w:rsidRPr="003726B1" w:rsidRDefault="00E27BAB" w:rsidP="00D85D82">
            <w:pPr>
              <w:spacing w:after="0" w:line="240" w:lineRule="auto"/>
              <w:jc w:val="center"/>
              <w:rPr>
                <w:rFonts w:eastAsia="Calibri"/>
                <w:noProof/>
                <w:spacing w:val="0"/>
                <w:lang w:val="es-DO"/>
              </w:rPr>
            </w:pPr>
            <w:r w:rsidRPr="003453ED">
              <w:rPr>
                <w:rFonts w:eastAsia="Calibri"/>
                <w:noProof/>
                <w:spacing w:val="0"/>
                <w:lang w:val="es-DO"/>
              </w:rPr>
              <w:t>3,596,896.62</w:t>
            </w:r>
          </w:p>
        </w:tc>
        <w:tc>
          <w:tcPr>
            <w:tcW w:w="2119" w:type="dxa"/>
            <w:tcBorders>
              <w:top w:val="nil"/>
              <w:left w:val="nil"/>
              <w:bottom w:val="single" w:sz="8" w:space="0" w:color="auto"/>
              <w:right w:val="single" w:sz="8" w:space="0" w:color="auto"/>
            </w:tcBorders>
            <w:noWrap/>
            <w:vAlign w:val="center"/>
            <w:hideMark/>
          </w:tcPr>
          <w:p w14:paraId="49925D7C" w14:textId="77777777" w:rsidR="00E27BAB" w:rsidRPr="003726B1" w:rsidRDefault="00E27BAB" w:rsidP="00D85D82">
            <w:pPr>
              <w:spacing w:after="0" w:line="240" w:lineRule="auto"/>
              <w:rPr>
                <w:rFonts w:eastAsia="Calibri"/>
                <w:noProof/>
                <w:spacing w:val="0"/>
                <w:lang w:val="es-DO"/>
              </w:rPr>
            </w:pPr>
            <w:r>
              <w:rPr>
                <w:rFonts w:eastAsia="Calibri"/>
                <w:noProof/>
                <w:spacing w:val="0"/>
                <w:lang w:val="es-DO"/>
              </w:rPr>
              <w:t xml:space="preserve">     </w:t>
            </w:r>
            <w:r w:rsidRPr="003453ED">
              <w:rPr>
                <w:rFonts w:eastAsia="Calibri"/>
                <w:noProof/>
                <w:spacing w:val="0"/>
                <w:lang w:val="es-DO"/>
              </w:rPr>
              <w:t>2,332,754.91</w:t>
            </w:r>
          </w:p>
        </w:tc>
        <w:tc>
          <w:tcPr>
            <w:tcW w:w="1853" w:type="dxa"/>
            <w:tcBorders>
              <w:top w:val="nil"/>
              <w:left w:val="nil"/>
              <w:bottom w:val="single" w:sz="8" w:space="0" w:color="auto"/>
              <w:right w:val="single" w:sz="8" w:space="0" w:color="auto"/>
            </w:tcBorders>
            <w:noWrap/>
            <w:vAlign w:val="center"/>
            <w:hideMark/>
          </w:tcPr>
          <w:p w14:paraId="0F19491F" w14:textId="77777777" w:rsidR="00E27BAB" w:rsidRPr="003726B1" w:rsidRDefault="00E27BAB" w:rsidP="00D85D82">
            <w:pPr>
              <w:spacing w:after="0" w:line="240" w:lineRule="auto"/>
              <w:rPr>
                <w:rFonts w:eastAsia="Calibri"/>
                <w:noProof/>
                <w:spacing w:val="0"/>
                <w:lang w:val="es-DO"/>
              </w:rPr>
            </w:pPr>
            <w:r>
              <w:rPr>
                <w:rFonts w:eastAsia="Calibri"/>
                <w:noProof/>
                <w:spacing w:val="0"/>
                <w:lang w:val="es-DO"/>
              </w:rPr>
              <w:t xml:space="preserve">    </w:t>
            </w:r>
            <w:r w:rsidRPr="009046A8">
              <w:rPr>
                <w:rFonts w:eastAsia="Calibri"/>
                <w:noProof/>
                <w:spacing w:val="0"/>
                <w:lang w:val="es-DO"/>
              </w:rPr>
              <w:t>1,264,141.71</w:t>
            </w:r>
          </w:p>
        </w:tc>
        <w:tc>
          <w:tcPr>
            <w:tcW w:w="1641" w:type="dxa"/>
            <w:tcBorders>
              <w:top w:val="nil"/>
              <w:left w:val="nil"/>
              <w:bottom w:val="single" w:sz="8" w:space="0" w:color="auto"/>
              <w:right w:val="single" w:sz="8" w:space="0" w:color="auto"/>
            </w:tcBorders>
            <w:noWrap/>
            <w:vAlign w:val="center"/>
            <w:hideMark/>
          </w:tcPr>
          <w:p w14:paraId="5816F364" w14:textId="77777777" w:rsidR="00E27BAB" w:rsidRPr="003726B1" w:rsidRDefault="00E27BAB" w:rsidP="00D85D82">
            <w:pPr>
              <w:spacing w:after="0" w:line="240" w:lineRule="auto"/>
              <w:jc w:val="center"/>
              <w:rPr>
                <w:rFonts w:eastAsia="Calibri"/>
                <w:noProof/>
                <w:spacing w:val="0"/>
                <w:lang w:val="es-DO"/>
              </w:rPr>
            </w:pPr>
            <w:r>
              <w:rPr>
                <w:rFonts w:eastAsia="Calibri"/>
                <w:noProof/>
                <w:spacing w:val="0"/>
                <w:lang w:val="es-DO"/>
              </w:rPr>
              <w:t>54.19</w:t>
            </w:r>
            <w:r w:rsidRPr="003726B1">
              <w:rPr>
                <w:rFonts w:eastAsia="Calibri"/>
                <w:noProof/>
                <w:spacing w:val="0"/>
                <w:lang w:val="es-DO"/>
              </w:rPr>
              <w:t>%</w:t>
            </w:r>
          </w:p>
        </w:tc>
      </w:tr>
      <w:tr w:rsidR="00E27BAB" w:rsidRPr="003726B1" w14:paraId="05BC37E5" w14:textId="77777777" w:rsidTr="00D85D82">
        <w:trPr>
          <w:trHeight w:val="544"/>
          <w:jc w:val="center"/>
        </w:trPr>
        <w:tc>
          <w:tcPr>
            <w:tcW w:w="2215" w:type="dxa"/>
            <w:tcBorders>
              <w:top w:val="nil"/>
              <w:left w:val="single" w:sz="8" w:space="0" w:color="auto"/>
              <w:bottom w:val="single" w:sz="8" w:space="0" w:color="auto"/>
              <w:right w:val="single" w:sz="8" w:space="0" w:color="auto"/>
            </w:tcBorders>
            <w:vAlign w:val="center"/>
            <w:hideMark/>
          </w:tcPr>
          <w:p w14:paraId="7FFDB9AB" w14:textId="77777777" w:rsidR="00E27BAB" w:rsidRPr="003726B1" w:rsidRDefault="00E27BAB" w:rsidP="00D85D82">
            <w:pPr>
              <w:spacing w:after="0" w:line="240" w:lineRule="auto"/>
              <w:jc w:val="center"/>
              <w:rPr>
                <w:rFonts w:eastAsia="Calibri"/>
                <w:noProof/>
                <w:spacing w:val="0"/>
                <w:lang w:val="es-DO"/>
              </w:rPr>
            </w:pPr>
            <w:r w:rsidRPr="003726B1">
              <w:rPr>
                <w:rFonts w:eastAsia="Calibri"/>
                <w:noProof/>
                <w:spacing w:val="0"/>
                <w:lang w:val="es-DO"/>
              </w:rPr>
              <w:t xml:space="preserve">Pensionados y Jubilados Sector Salud </w:t>
            </w:r>
          </w:p>
        </w:tc>
        <w:tc>
          <w:tcPr>
            <w:tcW w:w="2274" w:type="dxa"/>
            <w:tcBorders>
              <w:top w:val="nil"/>
              <w:left w:val="nil"/>
              <w:bottom w:val="single" w:sz="8" w:space="0" w:color="auto"/>
              <w:right w:val="single" w:sz="8" w:space="0" w:color="auto"/>
            </w:tcBorders>
            <w:noWrap/>
            <w:vAlign w:val="center"/>
            <w:hideMark/>
          </w:tcPr>
          <w:p w14:paraId="43C8C2E4" w14:textId="77777777" w:rsidR="00E27BAB" w:rsidRPr="003726B1" w:rsidRDefault="00E27BAB" w:rsidP="00D85D82">
            <w:pPr>
              <w:spacing w:after="0" w:line="240" w:lineRule="auto"/>
              <w:jc w:val="center"/>
              <w:rPr>
                <w:rFonts w:eastAsia="Calibri"/>
                <w:noProof/>
                <w:spacing w:val="0"/>
                <w:lang w:val="es-DO"/>
              </w:rPr>
            </w:pPr>
            <w:r w:rsidRPr="003453ED">
              <w:rPr>
                <w:rFonts w:eastAsia="Calibri"/>
                <w:noProof/>
                <w:spacing w:val="0"/>
                <w:lang w:val="es-DO"/>
              </w:rPr>
              <w:t>453,469.32</w:t>
            </w:r>
          </w:p>
        </w:tc>
        <w:tc>
          <w:tcPr>
            <w:tcW w:w="2119" w:type="dxa"/>
            <w:tcBorders>
              <w:top w:val="nil"/>
              <w:left w:val="nil"/>
              <w:bottom w:val="single" w:sz="8" w:space="0" w:color="auto"/>
              <w:right w:val="single" w:sz="8" w:space="0" w:color="auto"/>
            </w:tcBorders>
            <w:noWrap/>
            <w:vAlign w:val="center"/>
            <w:hideMark/>
          </w:tcPr>
          <w:p w14:paraId="07E982B8" w14:textId="77777777" w:rsidR="00E27BAB" w:rsidRPr="003726B1" w:rsidRDefault="00E27BAB" w:rsidP="00D85D82">
            <w:pPr>
              <w:spacing w:after="0" w:line="240" w:lineRule="auto"/>
              <w:jc w:val="center"/>
              <w:rPr>
                <w:rFonts w:eastAsia="Calibri"/>
                <w:noProof/>
                <w:spacing w:val="0"/>
                <w:lang w:val="es-DO"/>
              </w:rPr>
            </w:pPr>
            <w:r w:rsidRPr="003453ED">
              <w:rPr>
                <w:rFonts w:eastAsia="Calibri"/>
                <w:noProof/>
                <w:spacing w:val="0"/>
                <w:lang w:val="es-DO"/>
              </w:rPr>
              <w:t>790,337.79</w:t>
            </w:r>
          </w:p>
        </w:tc>
        <w:tc>
          <w:tcPr>
            <w:tcW w:w="1853" w:type="dxa"/>
            <w:tcBorders>
              <w:top w:val="nil"/>
              <w:left w:val="nil"/>
              <w:bottom w:val="single" w:sz="8" w:space="0" w:color="auto"/>
              <w:right w:val="single" w:sz="8" w:space="0" w:color="auto"/>
            </w:tcBorders>
            <w:noWrap/>
            <w:vAlign w:val="center"/>
            <w:hideMark/>
          </w:tcPr>
          <w:p w14:paraId="244870D0" w14:textId="77777777" w:rsidR="00E27BAB" w:rsidRPr="003726B1" w:rsidRDefault="00E27BAB" w:rsidP="00D85D82">
            <w:pPr>
              <w:spacing w:after="0" w:line="240" w:lineRule="auto"/>
              <w:jc w:val="center"/>
              <w:rPr>
                <w:rFonts w:eastAsia="Calibri"/>
                <w:noProof/>
                <w:spacing w:val="0"/>
                <w:lang w:val="es-DO"/>
              </w:rPr>
            </w:pPr>
            <w:r>
              <w:rPr>
                <w:rFonts w:eastAsia="Calibri"/>
                <w:noProof/>
                <w:spacing w:val="0"/>
                <w:lang w:val="es-DO"/>
              </w:rPr>
              <w:t>-</w:t>
            </w:r>
            <w:r w:rsidRPr="009046A8">
              <w:rPr>
                <w:rFonts w:eastAsia="Calibri"/>
                <w:noProof/>
                <w:spacing w:val="0"/>
                <w:lang w:val="es-DO"/>
              </w:rPr>
              <w:t>336,868.47</w:t>
            </w:r>
          </w:p>
        </w:tc>
        <w:tc>
          <w:tcPr>
            <w:tcW w:w="1641" w:type="dxa"/>
            <w:tcBorders>
              <w:top w:val="nil"/>
              <w:left w:val="nil"/>
              <w:bottom w:val="single" w:sz="8" w:space="0" w:color="auto"/>
              <w:right w:val="single" w:sz="8" w:space="0" w:color="auto"/>
            </w:tcBorders>
            <w:noWrap/>
            <w:vAlign w:val="center"/>
            <w:hideMark/>
          </w:tcPr>
          <w:p w14:paraId="0A1C963C" w14:textId="77777777" w:rsidR="00E27BAB" w:rsidRPr="003726B1" w:rsidRDefault="00E27BAB" w:rsidP="00D85D82">
            <w:pPr>
              <w:spacing w:after="0" w:line="240" w:lineRule="auto"/>
              <w:jc w:val="center"/>
              <w:rPr>
                <w:rFonts w:eastAsia="Calibri"/>
                <w:noProof/>
                <w:spacing w:val="0"/>
                <w:lang w:val="es-DO"/>
              </w:rPr>
            </w:pPr>
            <w:r w:rsidRPr="003726B1">
              <w:rPr>
                <w:rFonts w:eastAsia="Calibri"/>
                <w:noProof/>
                <w:spacing w:val="0"/>
                <w:lang w:val="es-DO"/>
              </w:rPr>
              <w:t>-</w:t>
            </w:r>
            <w:r>
              <w:rPr>
                <w:rFonts w:eastAsia="Calibri"/>
                <w:noProof/>
                <w:spacing w:val="0"/>
                <w:lang w:val="es-DO"/>
              </w:rPr>
              <w:t>42.62</w:t>
            </w:r>
            <w:r w:rsidRPr="003726B1">
              <w:rPr>
                <w:rFonts w:eastAsia="Calibri"/>
                <w:noProof/>
                <w:spacing w:val="0"/>
                <w:lang w:val="es-DO"/>
              </w:rPr>
              <w:t>%</w:t>
            </w:r>
          </w:p>
        </w:tc>
      </w:tr>
      <w:tr w:rsidR="00E27BAB" w:rsidRPr="003726B1" w14:paraId="319341BC" w14:textId="77777777" w:rsidTr="00D85D82">
        <w:trPr>
          <w:trHeight w:val="544"/>
          <w:jc w:val="center"/>
        </w:trPr>
        <w:tc>
          <w:tcPr>
            <w:tcW w:w="2215" w:type="dxa"/>
            <w:tcBorders>
              <w:top w:val="nil"/>
              <w:left w:val="single" w:sz="8" w:space="0" w:color="auto"/>
              <w:bottom w:val="single" w:sz="8" w:space="0" w:color="auto"/>
              <w:right w:val="single" w:sz="8" w:space="0" w:color="auto"/>
            </w:tcBorders>
            <w:vAlign w:val="center"/>
            <w:hideMark/>
          </w:tcPr>
          <w:p w14:paraId="20B8F33B" w14:textId="77777777" w:rsidR="00E27BAB" w:rsidRPr="003726B1" w:rsidRDefault="00E27BAB" w:rsidP="00D85D82">
            <w:pPr>
              <w:spacing w:after="0" w:line="240" w:lineRule="auto"/>
              <w:jc w:val="center"/>
              <w:rPr>
                <w:rFonts w:eastAsia="Calibri"/>
                <w:noProof/>
                <w:spacing w:val="0"/>
                <w:lang w:val="es-DO"/>
              </w:rPr>
            </w:pPr>
            <w:r w:rsidRPr="003726B1">
              <w:rPr>
                <w:rFonts w:eastAsia="Calibri"/>
                <w:noProof/>
                <w:spacing w:val="0"/>
                <w:lang w:val="es-DO"/>
              </w:rPr>
              <w:t xml:space="preserve">Pensionados y Jubilados del Estado (Decreto 18-19) </w:t>
            </w:r>
          </w:p>
        </w:tc>
        <w:tc>
          <w:tcPr>
            <w:tcW w:w="2274" w:type="dxa"/>
            <w:tcBorders>
              <w:top w:val="nil"/>
              <w:left w:val="nil"/>
              <w:bottom w:val="single" w:sz="8" w:space="0" w:color="auto"/>
              <w:right w:val="single" w:sz="8" w:space="0" w:color="auto"/>
            </w:tcBorders>
            <w:noWrap/>
            <w:vAlign w:val="center"/>
            <w:hideMark/>
          </w:tcPr>
          <w:p w14:paraId="7257EA42" w14:textId="77777777" w:rsidR="00E27BAB" w:rsidRPr="003726B1" w:rsidRDefault="00E27BAB" w:rsidP="00D85D82">
            <w:pPr>
              <w:spacing w:after="0" w:line="240" w:lineRule="auto"/>
              <w:jc w:val="center"/>
              <w:rPr>
                <w:rFonts w:eastAsia="Calibri"/>
                <w:noProof/>
                <w:spacing w:val="0"/>
                <w:lang w:val="es-DO"/>
              </w:rPr>
            </w:pPr>
            <w:r w:rsidRPr="003453ED">
              <w:rPr>
                <w:rFonts w:eastAsia="Calibri"/>
                <w:noProof/>
                <w:spacing w:val="0"/>
                <w:lang w:val="es-DO"/>
              </w:rPr>
              <w:t>5,294,222.00</w:t>
            </w:r>
          </w:p>
        </w:tc>
        <w:tc>
          <w:tcPr>
            <w:tcW w:w="2119" w:type="dxa"/>
            <w:tcBorders>
              <w:top w:val="nil"/>
              <w:left w:val="nil"/>
              <w:bottom w:val="single" w:sz="8" w:space="0" w:color="auto"/>
              <w:right w:val="single" w:sz="8" w:space="0" w:color="auto"/>
            </w:tcBorders>
            <w:noWrap/>
            <w:vAlign w:val="center"/>
            <w:hideMark/>
          </w:tcPr>
          <w:p w14:paraId="31C2DF49" w14:textId="77777777" w:rsidR="00E27BAB" w:rsidRPr="003726B1" w:rsidRDefault="00E27BAB" w:rsidP="00D85D82">
            <w:pPr>
              <w:spacing w:after="0" w:line="240" w:lineRule="auto"/>
              <w:jc w:val="center"/>
              <w:rPr>
                <w:rFonts w:eastAsia="Calibri"/>
                <w:noProof/>
                <w:spacing w:val="0"/>
                <w:lang w:val="es-DO"/>
              </w:rPr>
            </w:pPr>
            <w:r w:rsidRPr="003453ED">
              <w:rPr>
                <w:rFonts w:eastAsia="Calibri"/>
                <w:noProof/>
                <w:spacing w:val="0"/>
                <w:lang w:val="es-DO"/>
              </w:rPr>
              <w:t>8,293,340.77</w:t>
            </w:r>
          </w:p>
        </w:tc>
        <w:tc>
          <w:tcPr>
            <w:tcW w:w="1853" w:type="dxa"/>
            <w:tcBorders>
              <w:top w:val="nil"/>
              <w:left w:val="nil"/>
              <w:bottom w:val="single" w:sz="8" w:space="0" w:color="auto"/>
              <w:right w:val="single" w:sz="8" w:space="0" w:color="auto"/>
            </w:tcBorders>
            <w:noWrap/>
            <w:vAlign w:val="center"/>
            <w:hideMark/>
          </w:tcPr>
          <w:p w14:paraId="1BFCD05C" w14:textId="77777777" w:rsidR="00E27BAB" w:rsidRPr="003726B1" w:rsidRDefault="00E27BAB" w:rsidP="00D85D82">
            <w:pPr>
              <w:spacing w:after="0" w:line="240" w:lineRule="auto"/>
              <w:jc w:val="center"/>
              <w:rPr>
                <w:rFonts w:eastAsia="Calibri"/>
                <w:noProof/>
                <w:spacing w:val="0"/>
                <w:lang w:val="es-DO"/>
              </w:rPr>
            </w:pPr>
            <w:r>
              <w:rPr>
                <w:rFonts w:eastAsia="Calibri"/>
                <w:noProof/>
                <w:spacing w:val="0"/>
                <w:lang w:val="es-DO"/>
              </w:rPr>
              <w:t>-</w:t>
            </w:r>
            <w:r w:rsidRPr="009046A8">
              <w:rPr>
                <w:rFonts w:eastAsia="Calibri"/>
                <w:noProof/>
                <w:spacing w:val="0"/>
                <w:lang w:val="es-DO"/>
              </w:rPr>
              <w:t>2,999,118.77</w:t>
            </w:r>
          </w:p>
        </w:tc>
        <w:tc>
          <w:tcPr>
            <w:tcW w:w="1641" w:type="dxa"/>
            <w:tcBorders>
              <w:top w:val="nil"/>
              <w:left w:val="nil"/>
              <w:bottom w:val="single" w:sz="8" w:space="0" w:color="auto"/>
              <w:right w:val="single" w:sz="8" w:space="0" w:color="auto"/>
            </w:tcBorders>
            <w:noWrap/>
            <w:vAlign w:val="center"/>
            <w:hideMark/>
          </w:tcPr>
          <w:p w14:paraId="4CD20EEC" w14:textId="77777777" w:rsidR="00E27BAB" w:rsidRPr="003726B1" w:rsidRDefault="00E27BAB" w:rsidP="00D85D82">
            <w:pPr>
              <w:spacing w:after="0" w:line="240" w:lineRule="auto"/>
              <w:jc w:val="center"/>
              <w:rPr>
                <w:rFonts w:eastAsia="Calibri"/>
                <w:noProof/>
                <w:spacing w:val="0"/>
                <w:lang w:val="es-DO"/>
              </w:rPr>
            </w:pPr>
            <w:r>
              <w:rPr>
                <w:rFonts w:eastAsia="Calibri"/>
                <w:noProof/>
                <w:spacing w:val="0"/>
                <w:lang w:val="es-DO"/>
              </w:rPr>
              <w:t>-36.16</w:t>
            </w:r>
            <w:r w:rsidRPr="003726B1">
              <w:rPr>
                <w:rFonts w:eastAsia="Calibri"/>
                <w:noProof/>
                <w:spacing w:val="0"/>
                <w:lang w:val="es-DO"/>
              </w:rPr>
              <w:t>%</w:t>
            </w:r>
          </w:p>
        </w:tc>
      </w:tr>
      <w:tr w:rsidR="00E27BAB" w:rsidRPr="003726B1" w14:paraId="3019C367" w14:textId="77777777" w:rsidTr="00D85D82">
        <w:trPr>
          <w:trHeight w:val="388"/>
          <w:jc w:val="center"/>
        </w:trPr>
        <w:tc>
          <w:tcPr>
            <w:tcW w:w="2215" w:type="dxa"/>
            <w:tcBorders>
              <w:top w:val="nil"/>
              <w:left w:val="single" w:sz="8" w:space="0" w:color="auto"/>
              <w:bottom w:val="single" w:sz="8" w:space="0" w:color="auto"/>
              <w:right w:val="single" w:sz="8" w:space="0" w:color="auto"/>
            </w:tcBorders>
            <w:noWrap/>
            <w:vAlign w:val="center"/>
            <w:hideMark/>
          </w:tcPr>
          <w:p w14:paraId="794DA681" w14:textId="77777777" w:rsidR="00E27BAB" w:rsidRPr="003726B1" w:rsidRDefault="00E27BAB" w:rsidP="00D85D82">
            <w:pPr>
              <w:spacing w:after="0" w:line="240" w:lineRule="auto"/>
              <w:jc w:val="center"/>
              <w:rPr>
                <w:rFonts w:eastAsia="Calibri"/>
                <w:noProof/>
                <w:spacing w:val="0"/>
                <w:lang w:val="es-DO"/>
              </w:rPr>
            </w:pPr>
            <w:r w:rsidRPr="003726B1">
              <w:rPr>
                <w:rFonts w:eastAsia="Calibri"/>
                <w:noProof/>
                <w:spacing w:val="0"/>
                <w:lang w:val="es-DO"/>
              </w:rPr>
              <w:t xml:space="preserve"> Totales </w:t>
            </w:r>
          </w:p>
        </w:tc>
        <w:tc>
          <w:tcPr>
            <w:tcW w:w="2274" w:type="dxa"/>
            <w:tcBorders>
              <w:top w:val="nil"/>
              <w:left w:val="nil"/>
              <w:bottom w:val="single" w:sz="8" w:space="0" w:color="auto"/>
              <w:right w:val="single" w:sz="8" w:space="0" w:color="auto"/>
            </w:tcBorders>
            <w:noWrap/>
            <w:vAlign w:val="center"/>
            <w:hideMark/>
          </w:tcPr>
          <w:p w14:paraId="32F9A191" w14:textId="77777777" w:rsidR="00E27BAB" w:rsidRPr="003726B1" w:rsidRDefault="00E27BAB" w:rsidP="00D85D82">
            <w:pPr>
              <w:spacing w:after="0" w:line="240" w:lineRule="auto"/>
              <w:jc w:val="center"/>
              <w:rPr>
                <w:rFonts w:eastAsia="Calibri"/>
                <w:noProof/>
                <w:spacing w:val="0"/>
                <w:lang w:val="es-DO"/>
              </w:rPr>
            </w:pPr>
            <w:r w:rsidRPr="003453ED">
              <w:rPr>
                <w:rFonts w:eastAsia="Calibri"/>
                <w:noProof/>
                <w:spacing w:val="0"/>
                <w:lang w:val="es-DO"/>
              </w:rPr>
              <w:t>9,344,587.94</w:t>
            </w:r>
          </w:p>
        </w:tc>
        <w:tc>
          <w:tcPr>
            <w:tcW w:w="2119" w:type="dxa"/>
            <w:tcBorders>
              <w:top w:val="nil"/>
              <w:left w:val="nil"/>
              <w:bottom w:val="single" w:sz="8" w:space="0" w:color="auto"/>
              <w:right w:val="single" w:sz="8" w:space="0" w:color="auto"/>
            </w:tcBorders>
            <w:noWrap/>
            <w:vAlign w:val="center"/>
            <w:hideMark/>
          </w:tcPr>
          <w:p w14:paraId="2DB81783" w14:textId="77777777" w:rsidR="00E27BAB" w:rsidRPr="003726B1" w:rsidRDefault="00E27BAB" w:rsidP="00D85D82">
            <w:pPr>
              <w:spacing w:after="0" w:line="240" w:lineRule="auto"/>
              <w:jc w:val="center"/>
              <w:rPr>
                <w:rFonts w:eastAsia="Calibri"/>
                <w:noProof/>
                <w:spacing w:val="0"/>
                <w:lang w:val="es-DO"/>
              </w:rPr>
            </w:pPr>
            <w:r w:rsidRPr="003453ED">
              <w:rPr>
                <w:rFonts w:eastAsia="Calibri"/>
                <w:noProof/>
                <w:spacing w:val="0"/>
                <w:lang w:val="es-DO"/>
              </w:rPr>
              <w:t>11,416,433.47</w:t>
            </w:r>
          </w:p>
        </w:tc>
        <w:tc>
          <w:tcPr>
            <w:tcW w:w="1853" w:type="dxa"/>
            <w:tcBorders>
              <w:top w:val="nil"/>
              <w:left w:val="nil"/>
              <w:bottom w:val="single" w:sz="8" w:space="0" w:color="auto"/>
              <w:right w:val="single" w:sz="8" w:space="0" w:color="auto"/>
            </w:tcBorders>
            <w:noWrap/>
            <w:vAlign w:val="center"/>
            <w:hideMark/>
          </w:tcPr>
          <w:p w14:paraId="0A6ABC48" w14:textId="77777777" w:rsidR="00E27BAB" w:rsidRPr="003726B1" w:rsidRDefault="00E27BAB" w:rsidP="00D85D82">
            <w:pPr>
              <w:spacing w:after="0" w:line="240" w:lineRule="auto"/>
              <w:jc w:val="center"/>
              <w:rPr>
                <w:rFonts w:eastAsia="Calibri"/>
                <w:noProof/>
                <w:spacing w:val="0"/>
                <w:lang w:val="es-DO"/>
              </w:rPr>
            </w:pPr>
            <w:r>
              <w:rPr>
                <w:rFonts w:eastAsia="Calibri"/>
                <w:noProof/>
                <w:spacing w:val="0"/>
                <w:lang w:val="es-DO"/>
              </w:rPr>
              <w:t>-</w:t>
            </w:r>
            <w:r w:rsidRPr="009046A8">
              <w:rPr>
                <w:rFonts w:eastAsia="Calibri"/>
                <w:noProof/>
                <w:spacing w:val="0"/>
                <w:lang w:val="es-DO"/>
              </w:rPr>
              <w:t>2,071,845.53</w:t>
            </w:r>
          </w:p>
        </w:tc>
        <w:tc>
          <w:tcPr>
            <w:tcW w:w="1641" w:type="dxa"/>
            <w:tcBorders>
              <w:top w:val="nil"/>
              <w:left w:val="nil"/>
              <w:bottom w:val="single" w:sz="8" w:space="0" w:color="auto"/>
              <w:right w:val="single" w:sz="8" w:space="0" w:color="auto"/>
            </w:tcBorders>
            <w:noWrap/>
            <w:vAlign w:val="center"/>
            <w:hideMark/>
          </w:tcPr>
          <w:p w14:paraId="3BC5D8C5" w14:textId="77777777" w:rsidR="00E27BAB" w:rsidRPr="003726B1" w:rsidRDefault="00E27BAB" w:rsidP="00D85D82">
            <w:pPr>
              <w:spacing w:after="0" w:line="240" w:lineRule="auto"/>
              <w:jc w:val="center"/>
              <w:rPr>
                <w:rFonts w:eastAsia="Calibri"/>
                <w:noProof/>
                <w:spacing w:val="0"/>
                <w:lang w:val="es-DO"/>
              </w:rPr>
            </w:pPr>
            <w:r>
              <w:rPr>
                <w:rFonts w:eastAsia="Calibri"/>
                <w:noProof/>
                <w:spacing w:val="0"/>
                <w:lang w:val="es-DO"/>
              </w:rPr>
              <w:t>-18.15</w:t>
            </w:r>
            <w:r w:rsidRPr="003726B1">
              <w:rPr>
                <w:rFonts w:eastAsia="Calibri"/>
                <w:noProof/>
                <w:spacing w:val="0"/>
                <w:lang w:val="es-DO"/>
              </w:rPr>
              <w:t>%</w:t>
            </w:r>
          </w:p>
        </w:tc>
      </w:tr>
    </w:tbl>
    <w:p w14:paraId="572A73DD" w14:textId="77777777" w:rsidR="00E27BAB" w:rsidRPr="00E27BAB" w:rsidRDefault="00E27BAB" w:rsidP="00E27BAB">
      <w:pPr>
        <w:spacing w:after="0" w:line="240" w:lineRule="auto"/>
        <w:rPr>
          <w:rFonts w:eastAsia="Calibri"/>
          <w:noProof/>
          <w:sz w:val="18"/>
          <w:szCs w:val="18"/>
          <w:lang w:val="es-ES"/>
        </w:rPr>
      </w:pPr>
      <w:r w:rsidRPr="00E53EFB">
        <w:rPr>
          <w:rFonts w:eastAsia="Calibri"/>
          <w:b/>
          <w:bCs/>
          <w:noProof/>
          <w:sz w:val="18"/>
          <w:szCs w:val="18"/>
          <w:lang w:val="es-ES"/>
        </w:rPr>
        <w:t xml:space="preserve">Tabla 9: </w:t>
      </w:r>
      <w:r w:rsidRPr="00E27BAB">
        <w:rPr>
          <w:rFonts w:eastAsia="Calibri"/>
          <w:noProof/>
          <w:sz w:val="18"/>
          <w:szCs w:val="18"/>
          <w:lang w:val="es-ES"/>
        </w:rPr>
        <w:t>Devolución de Aportes SFS enero-diciembre 2025.</w:t>
      </w:r>
    </w:p>
    <w:p w14:paraId="7FFD1EBA" w14:textId="77777777" w:rsidR="00E27BAB" w:rsidRPr="00E27BAB" w:rsidRDefault="00E27BAB" w:rsidP="00B715E3">
      <w:pPr>
        <w:pStyle w:val="xxmsonormal"/>
        <w:ind w:left="-90"/>
        <w:jc w:val="both"/>
        <w:rPr>
          <w:rFonts w:ascii="Times New Roman" w:eastAsia="Calibri" w:hAnsi="Times New Roman" w:cs="Times New Roman"/>
          <w:noProof/>
          <w:color w:val="767171"/>
          <w:spacing w:val="20"/>
          <w:sz w:val="18"/>
          <w:szCs w:val="18"/>
          <w:lang w:val="es-ES" w:eastAsia="en-US"/>
        </w:rPr>
      </w:pPr>
    </w:p>
    <w:p w14:paraId="115A55D0" w14:textId="77777777" w:rsidR="00E27BAB" w:rsidRDefault="00E27BAB" w:rsidP="00B715E3">
      <w:pPr>
        <w:pStyle w:val="xxmsonormal"/>
        <w:ind w:left="-90"/>
        <w:jc w:val="both"/>
        <w:rPr>
          <w:rFonts w:ascii="Times New Roman" w:eastAsia="Calibri" w:hAnsi="Times New Roman" w:cs="Times New Roman"/>
          <w:noProof/>
          <w:color w:val="767171"/>
          <w:spacing w:val="20"/>
          <w:sz w:val="18"/>
          <w:szCs w:val="18"/>
          <w:lang w:eastAsia="en-US"/>
        </w:rPr>
      </w:pPr>
    </w:p>
    <w:p w14:paraId="5CD869A3" w14:textId="77777777" w:rsidR="00E27BAB" w:rsidRDefault="00E27BAB" w:rsidP="00B715E3">
      <w:pPr>
        <w:pStyle w:val="xxmsonormal"/>
        <w:ind w:left="-90"/>
        <w:jc w:val="both"/>
        <w:rPr>
          <w:rFonts w:ascii="Times New Roman" w:eastAsia="Calibri" w:hAnsi="Times New Roman" w:cs="Times New Roman"/>
          <w:noProof/>
          <w:color w:val="767171"/>
          <w:spacing w:val="20"/>
          <w:sz w:val="18"/>
          <w:szCs w:val="18"/>
          <w:lang w:eastAsia="en-US"/>
        </w:rPr>
      </w:pPr>
    </w:p>
    <w:p w14:paraId="268EFB67" w14:textId="77777777" w:rsidR="00E27BAB" w:rsidRDefault="00E27BAB" w:rsidP="00B715E3">
      <w:pPr>
        <w:pStyle w:val="xxmsonormal"/>
        <w:ind w:left="-90"/>
        <w:jc w:val="both"/>
        <w:rPr>
          <w:rFonts w:ascii="Times New Roman" w:eastAsia="Calibri" w:hAnsi="Times New Roman" w:cs="Times New Roman"/>
          <w:noProof/>
          <w:color w:val="767171"/>
          <w:spacing w:val="20"/>
          <w:sz w:val="18"/>
          <w:szCs w:val="18"/>
          <w:lang w:eastAsia="en-US"/>
        </w:rPr>
      </w:pPr>
    </w:p>
    <w:p w14:paraId="3022D82B" w14:textId="6D90D804" w:rsidR="00041B32" w:rsidRPr="00232EBB" w:rsidRDefault="00041B32" w:rsidP="00815618">
      <w:pPr>
        <w:keepNext/>
        <w:keepLines/>
        <w:spacing w:after="80" w:line="360" w:lineRule="auto"/>
        <w:jc w:val="both"/>
        <w:outlineLvl w:val="0"/>
        <w:rPr>
          <w:rFonts w:eastAsia="Calibri"/>
          <w:b/>
          <w:bCs/>
          <w:noProof/>
          <w:lang w:val="es-ES"/>
        </w:rPr>
      </w:pPr>
      <w:bookmarkStart w:id="28" w:name="_Toc171677818"/>
      <w:bookmarkStart w:id="29" w:name="_Toc172118662"/>
      <w:bookmarkStart w:id="30" w:name="_Toc172119825"/>
      <w:bookmarkStart w:id="31" w:name="_Toc172120158"/>
      <w:bookmarkStart w:id="32" w:name="_Toc172121376"/>
      <w:bookmarkStart w:id="33" w:name="_Toc184981189"/>
      <w:bookmarkStart w:id="34" w:name="_Toc216952214"/>
      <w:r w:rsidRPr="00232EBB">
        <w:rPr>
          <w:rFonts w:eastAsia="Calibri"/>
          <w:b/>
          <w:bCs/>
          <w:noProof/>
          <w:lang w:val="es-ES"/>
        </w:rPr>
        <w:t>Régimen Subsidiado</w:t>
      </w:r>
      <w:bookmarkEnd w:id="28"/>
      <w:bookmarkEnd w:id="29"/>
      <w:bookmarkEnd w:id="30"/>
      <w:bookmarkEnd w:id="31"/>
      <w:bookmarkEnd w:id="32"/>
      <w:bookmarkEnd w:id="33"/>
      <w:bookmarkEnd w:id="34"/>
      <w:r w:rsidRPr="00232EBB">
        <w:rPr>
          <w:rFonts w:eastAsia="Calibri"/>
          <w:b/>
          <w:bCs/>
          <w:noProof/>
          <w:lang w:val="es-ES"/>
        </w:rPr>
        <w:t xml:space="preserve"> </w:t>
      </w:r>
    </w:p>
    <w:p w14:paraId="43CBB107" w14:textId="77777777" w:rsidR="00041B32" w:rsidRPr="00232EBB" w:rsidRDefault="00041B32" w:rsidP="00815618">
      <w:pPr>
        <w:spacing w:after="0" w:line="360" w:lineRule="auto"/>
        <w:jc w:val="both"/>
        <w:rPr>
          <w:rFonts w:eastAsia="Calibri"/>
          <w:noProof/>
          <w:lang w:val="es-ES"/>
        </w:rPr>
      </w:pPr>
      <w:r w:rsidRPr="00232EBB">
        <w:rPr>
          <w:rFonts w:eastAsia="Calibri"/>
          <w:noProof/>
          <w:lang w:val="es-ES"/>
        </w:rPr>
        <w:t>En cumplimiento con el acápite e) del Art.28 de la ley No. 87-01, a continuación, detallamos los siguientes procesos:</w:t>
      </w:r>
    </w:p>
    <w:p w14:paraId="7EB846E5" w14:textId="77777777" w:rsidR="00815618" w:rsidRPr="00232EBB" w:rsidRDefault="00815618" w:rsidP="00815618">
      <w:pPr>
        <w:spacing w:after="0" w:line="360" w:lineRule="auto"/>
        <w:jc w:val="both"/>
        <w:rPr>
          <w:rFonts w:eastAsia="Calibri"/>
          <w:noProof/>
          <w:lang w:val="es-ES"/>
        </w:rPr>
      </w:pPr>
    </w:p>
    <w:p w14:paraId="7853375A" w14:textId="77777777" w:rsidR="00041B32" w:rsidRPr="00232EBB" w:rsidRDefault="00041B32" w:rsidP="00815618">
      <w:pPr>
        <w:keepNext/>
        <w:keepLines/>
        <w:spacing w:after="0" w:line="360" w:lineRule="auto"/>
        <w:jc w:val="both"/>
        <w:outlineLvl w:val="0"/>
        <w:rPr>
          <w:rFonts w:eastAsia="Calibri"/>
          <w:b/>
          <w:bCs/>
          <w:noProof/>
          <w:lang w:val="es-ES"/>
        </w:rPr>
      </w:pPr>
      <w:bookmarkStart w:id="35" w:name="_Toc171677819"/>
      <w:bookmarkStart w:id="36" w:name="_Toc172118663"/>
      <w:bookmarkStart w:id="37" w:name="_Toc172119826"/>
      <w:bookmarkStart w:id="38" w:name="_Toc172120159"/>
      <w:bookmarkStart w:id="39" w:name="_Toc172121377"/>
      <w:bookmarkStart w:id="40" w:name="_Toc184981190"/>
      <w:bookmarkStart w:id="41" w:name="_Toc216952215"/>
      <w:r w:rsidRPr="00232EBB">
        <w:rPr>
          <w:rFonts w:eastAsia="Calibri"/>
          <w:b/>
          <w:bCs/>
          <w:noProof/>
          <w:lang w:val="es-ES"/>
        </w:rPr>
        <w:t>Aportes del Estado</w:t>
      </w:r>
      <w:bookmarkEnd w:id="35"/>
      <w:bookmarkEnd w:id="36"/>
      <w:bookmarkEnd w:id="37"/>
      <w:bookmarkEnd w:id="38"/>
      <w:bookmarkEnd w:id="39"/>
      <w:bookmarkEnd w:id="40"/>
      <w:bookmarkEnd w:id="41"/>
    </w:p>
    <w:p w14:paraId="54A15204" w14:textId="3485C68B" w:rsidR="00413FED" w:rsidRPr="00232EBB" w:rsidRDefault="00144238" w:rsidP="00413FED">
      <w:pPr>
        <w:spacing w:after="0" w:line="360" w:lineRule="auto"/>
        <w:jc w:val="both"/>
        <w:rPr>
          <w:rFonts w:eastAsia="Calibri"/>
          <w:noProof/>
          <w:lang w:val="es-DO"/>
        </w:rPr>
      </w:pPr>
      <w:bookmarkStart w:id="42" w:name="_Toc171677820"/>
      <w:bookmarkStart w:id="43" w:name="_Toc172118664"/>
      <w:bookmarkStart w:id="44" w:name="_Toc172119827"/>
      <w:bookmarkStart w:id="45" w:name="_Toc172120160"/>
      <w:bookmarkStart w:id="46" w:name="_Toc172121378"/>
      <w:bookmarkStart w:id="47" w:name="_Toc184981191"/>
      <w:r w:rsidRPr="00232EBB">
        <w:rPr>
          <w:rFonts w:eastAsia="Calibri"/>
          <w:noProof/>
          <w:lang w:val="es-ES"/>
        </w:rPr>
        <w:t>El  15 de octubre de 2025 se recibió un aporte de RD$6,000,000,000.00 por el IDOPPRIL según Res. del CNSS No.619-08 de fecha 28 de agosto de 2025, para la protección de la Salud de las Personas a través de la ARS SENASA, con este aporte se cubrira los meses de octubre, noviembre y diciembre del 2025</w:t>
      </w:r>
      <w:r w:rsidRPr="00232EBB">
        <w:rPr>
          <w:rFonts w:eastAsia="Calibri"/>
          <w:noProof/>
          <w:lang w:val="es-DO"/>
        </w:rPr>
        <w:t>.</w:t>
      </w:r>
      <w:r w:rsidR="00413FED" w:rsidRPr="00232EBB">
        <w:rPr>
          <w:rFonts w:eastAsia="Calibri"/>
          <w:noProof/>
          <w:lang w:val="es-ES"/>
        </w:rPr>
        <w:t xml:space="preserve"> </w:t>
      </w:r>
    </w:p>
    <w:p w14:paraId="50C92B19" w14:textId="77777777" w:rsidR="00041B32" w:rsidRPr="00232EBB" w:rsidRDefault="00041B32" w:rsidP="002D2273">
      <w:pPr>
        <w:keepNext/>
        <w:keepLines/>
        <w:spacing w:before="360" w:after="0" w:line="360" w:lineRule="auto"/>
        <w:jc w:val="both"/>
        <w:outlineLvl w:val="0"/>
        <w:rPr>
          <w:rFonts w:eastAsia="Calibri"/>
          <w:b/>
          <w:bCs/>
          <w:noProof/>
          <w:lang w:val="es-ES"/>
        </w:rPr>
      </w:pPr>
      <w:bookmarkStart w:id="48" w:name="_Toc216952216"/>
      <w:r w:rsidRPr="00232EBB">
        <w:rPr>
          <w:rFonts w:eastAsia="Calibri"/>
          <w:b/>
          <w:bCs/>
          <w:noProof/>
          <w:lang w:val="es-ES"/>
        </w:rPr>
        <w:t>Pagos Realizados a SENASA</w:t>
      </w:r>
      <w:bookmarkEnd w:id="42"/>
      <w:bookmarkEnd w:id="43"/>
      <w:bookmarkEnd w:id="44"/>
      <w:bookmarkEnd w:id="45"/>
      <w:bookmarkEnd w:id="46"/>
      <w:bookmarkEnd w:id="47"/>
      <w:bookmarkEnd w:id="48"/>
      <w:r w:rsidRPr="00232EBB">
        <w:rPr>
          <w:rFonts w:eastAsia="Calibri"/>
          <w:b/>
          <w:bCs/>
          <w:noProof/>
          <w:lang w:val="es-ES"/>
        </w:rPr>
        <w:t xml:space="preserve"> </w:t>
      </w:r>
    </w:p>
    <w:p w14:paraId="1A15A50B" w14:textId="77777777" w:rsidR="00144238" w:rsidRPr="00232EBB" w:rsidRDefault="00144238" w:rsidP="00144238">
      <w:pPr>
        <w:spacing w:before="240" w:after="0" w:line="360" w:lineRule="auto"/>
        <w:jc w:val="both"/>
        <w:rPr>
          <w:rFonts w:eastAsia="Calibri"/>
          <w:noProof/>
          <w:lang w:val="es-ES"/>
        </w:rPr>
      </w:pPr>
      <w:r w:rsidRPr="00232EBB">
        <w:rPr>
          <w:rFonts w:eastAsia="Calibri"/>
          <w:noProof/>
          <w:lang w:val="es-ES"/>
        </w:rPr>
        <w:t xml:space="preserve">El Seguro Nacional de Salud (SENASA) a diciembre del 2025 ha recibido de esta Tesorería de la Seguridad Social el monto total de </w:t>
      </w:r>
      <w:r w:rsidRPr="00232EBB">
        <w:rPr>
          <w:rFonts w:eastAsia="Calibri"/>
          <w:noProof/>
          <w:lang w:val="es-ES"/>
        </w:rPr>
        <w:lastRenderedPageBreak/>
        <w:t>RD$22,967,993,477.40, incluyendo el valor total de RD$200,000,000.04, como transferencia de fondos, para el “Proyecto SeNaSa Cuida de Ti” y desde que inicio el Régimen Subsidiado hasta la fecha un monto global ascendente a la suma de RD$186,399,141,623.32</w:t>
      </w:r>
    </w:p>
    <w:p w14:paraId="4B695676" w14:textId="637420A5" w:rsidR="00144238" w:rsidRPr="00232EBB" w:rsidRDefault="00144238" w:rsidP="00144238">
      <w:pPr>
        <w:spacing w:before="240" w:after="0" w:line="360" w:lineRule="auto"/>
        <w:jc w:val="both"/>
        <w:rPr>
          <w:rFonts w:eastAsia="Calibri"/>
          <w:noProof/>
          <w:lang w:val="es-ES"/>
        </w:rPr>
      </w:pPr>
      <w:r w:rsidRPr="00232EBB">
        <w:rPr>
          <w:rFonts w:eastAsia="Calibri"/>
          <w:noProof/>
          <w:lang w:val="es-ES"/>
        </w:rPr>
        <w:t xml:space="preserve">Debemos señalar que la cobertura de salud en la última factura fue por  5,669,125 afiliados, de los cuales 4,816,456 eran titulares, 851,046 dependientes y 1,623 recién nacido dependientes </w:t>
      </w:r>
      <w:r w:rsidR="000E38E1">
        <w:rPr>
          <w:rFonts w:eastAsia="Calibri"/>
          <w:noProof/>
          <w:lang w:val="es-ES"/>
        </w:rPr>
        <w:t>al cierre del 2025.</w:t>
      </w:r>
    </w:p>
    <w:p w14:paraId="27CB80C2" w14:textId="0BA70C8C" w:rsidR="00413FED" w:rsidRPr="00232EBB" w:rsidRDefault="00BA4022" w:rsidP="00144238">
      <w:pPr>
        <w:spacing w:before="240" w:after="0" w:line="360" w:lineRule="auto"/>
        <w:jc w:val="both"/>
        <w:rPr>
          <w:rFonts w:eastAsia="Calibri"/>
          <w:noProof/>
          <w:lang w:val="es-ES"/>
        </w:rPr>
      </w:pPr>
      <w:r w:rsidRPr="00232EBB">
        <w:rPr>
          <w:rFonts w:eastAsia="Calibri"/>
          <w:noProof/>
          <w:lang w:val="es-ES"/>
        </w:rPr>
        <w:t>F</w:t>
      </w:r>
      <w:r w:rsidR="00413FED" w:rsidRPr="00232EBB">
        <w:rPr>
          <w:rFonts w:eastAsia="Calibri"/>
          <w:noProof/>
          <w:lang w:val="es-ES"/>
        </w:rPr>
        <w:t>ue transferido a la Cuenta Colector Contribuciones de la Tesorería de la Seguridad Social los montos RD$833,333,333.33 y RD$464,651,675.10, para un total RD$1,297,985,008.43 con la finalidad de realizar devolución a la Tesorería Nacional, acorde a la comunicación recibida de la Dirección General de Presupuesto No. DGP-Sal-2025-002122 de fecha 22 de octubre 2025, con el fin de ser reintegrado a la Cuenta Única del Tesoro.</w:t>
      </w:r>
    </w:p>
    <w:p w14:paraId="6DF86763" w14:textId="77674004" w:rsidR="006717EB" w:rsidRPr="00232EBB" w:rsidRDefault="00EE5576" w:rsidP="00EE5576">
      <w:pPr>
        <w:spacing w:before="240" w:after="0" w:line="360" w:lineRule="auto"/>
        <w:jc w:val="both"/>
        <w:rPr>
          <w:rFonts w:eastAsia="Calibri"/>
          <w:noProof/>
          <w:lang w:val="es-ES"/>
        </w:rPr>
      </w:pPr>
      <w:r w:rsidRPr="00232EBB">
        <w:rPr>
          <w:rFonts w:eastAsia="Calibri"/>
          <w:noProof/>
          <w:lang w:val="es-ES"/>
        </w:rPr>
        <w:t xml:space="preserve">A continuación, detalle de los aportes recibidos del Gobierno Central y pagados por el Régimen Subsidiado de </w:t>
      </w:r>
      <w:r w:rsidR="00144238" w:rsidRPr="00232EBB">
        <w:rPr>
          <w:rFonts w:eastAsia="Calibri"/>
          <w:noProof/>
          <w:lang w:val="es-ES"/>
        </w:rPr>
        <w:t>dic</w:t>
      </w:r>
      <w:r w:rsidR="00420371" w:rsidRPr="00232EBB">
        <w:rPr>
          <w:rFonts w:eastAsia="Calibri"/>
          <w:noProof/>
          <w:lang w:val="es-ES"/>
        </w:rPr>
        <w:t>i</w:t>
      </w:r>
      <w:r w:rsidRPr="00232EBB">
        <w:rPr>
          <w:rFonts w:eastAsia="Calibri"/>
          <w:noProof/>
          <w:lang w:val="es-ES"/>
        </w:rPr>
        <w:t>embre de 202</w:t>
      </w:r>
      <w:r w:rsidR="00CF1211" w:rsidRPr="00232EBB">
        <w:rPr>
          <w:rFonts w:eastAsia="Calibri"/>
          <w:noProof/>
          <w:lang w:val="es-ES"/>
        </w:rPr>
        <w:t>5</w:t>
      </w:r>
      <w:r w:rsidRPr="00232EBB">
        <w:rPr>
          <w:rFonts w:eastAsia="Calibri"/>
          <w:noProof/>
          <w:lang w:val="es-ES"/>
        </w:rPr>
        <w:t>:</w:t>
      </w:r>
    </w:p>
    <w:tbl>
      <w:tblPr>
        <w:tblW w:w="7900" w:type="dxa"/>
        <w:tblLook w:val="04A0" w:firstRow="1" w:lastRow="0" w:firstColumn="1" w:lastColumn="0" w:noHBand="0" w:noVBand="1"/>
      </w:tblPr>
      <w:tblGrid>
        <w:gridCol w:w="3140"/>
        <w:gridCol w:w="2353"/>
        <w:gridCol w:w="2407"/>
      </w:tblGrid>
      <w:tr w:rsidR="00A741F1" w:rsidRPr="004622C5" w14:paraId="37650EC1" w14:textId="77777777" w:rsidTr="00BA2589">
        <w:trPr>
          <w:trHeight w:val="908"/>
          <w:tblHeader/>
        </w:trPr>
        <w:tc>
          <w:tcPr>
            <w:tcW w:w="3140" w:type="dxa"/>
            <w:tcBorders>
              <w:top w:val="single" w:sz="8" w:space="0" w:color="auto"/>
              <w:left w:val="single" w:sz="8" w:space="0" w:color="auto"/>
              <w:bottom w:val="single" w:sz="4" w:space="0" w:color="auto"/>
              <w:right w:val="single" w:sz="4" w:space="0" w:color="auto"/>
            </w:tcBorders>
            <w:shd w:val="clear" w:color="000000" w:fill="002060"/>
            <w:noWrap/>
            <w:vAlign w:val="center"/>
            <w:hideMark/>
          </w:tcPr>
          <w:p w14:paraId="22421667" w14:textId="77777777" w:rsidR="00A741F1" w:rsidRPr="00232EBB" w:rsidRDefault="00A741F1" w:rsidP="00822846">
            <w:pPr>
              <w:spacing w:after="0" w:line="240" w:lineRule="auto"/>
              <w:jc w:val="center"/>
              <w:rPr>
                <w:rFonts w:eastAsia="Times New Roman"/>
                <w:b/>
                <w:bCs/>
                <w:color w:val="FFFFFF"/>
                <w:spacing w:val="0"/>
                <w:sz w:val="18"/>
                <w:szCs w:val="18"/>
              </w:rPr>
            </w:pPr>
            <w:r w:rsidRPr="00232EBB">
              <w:rPr>
                <w:rFonts w:eastAsia="Times New Roman"/>
                <w:b/>
                <w:bCs/>
                <w:color w:val="FFFFFF"/>
                <w:spacing w:val="0"/>
                <w:sz w:val="18"/>
                <w:szCs w:val="18"/>
              </w:rPr>
              <w:t>CONCEPTO</w:t>
            </w:r>
          </w:p>
        </w:tc>
        <w:tc>
          <w:tcPr>
            <w:tcW w:w="2353" w:type="dxa"/>
            <w:tcBorders>
              <w:top w:val="single" w:sz="8" w:space="0" w:color="auto"/>
              <w:left w:val="single" w:sz="4" w:space="0" w:color="auto"/>
              <w:bottom w:val="nil"/>
              <w:right w:val="single" w:sz="8" w:space="0" w:color="auto"/>
            </w:tcBorders>
            <w:shd w:val="clear" w:color="000000" w:fill="002060"/>
            <w:vAlign w:val="center"/>
            <w:hideMark/>
          </w:tcPr>
          <w:p w14:paraId="5C622444" w14:textId="1DDEBB03" w:rsidR="00A741F1" w:rsidRPr="00232EBB" w:rsidRDefault="00A741F1" w:rsidP="00822846">
            <w:pPr>
              <w:spacing w:after="0" w:line="240" w:lineRule="auto"/>
              <w:jc w:val="center"/>
              <w:rPr>
                <w:rFonts w:eastAsia="Times New Roman"/>
                <w:b/>
                <w:bCs/>
                <w:color w:val="FFFFFF"/>
                <w:spacing w:val="0"/>
                <w:sz w:val="18"/>
                <w:szCs w:val="18"/>
              </w:rPr>
            </w:pPr>
            <w:r w:rsidRPr="00232EBB">
              <w:rPr>
                <w:rFonts w:eastAsia="Times New Roman"/>
                <w:b/>
                <w:bCs/>
                <w:color w:val="FFFFFF"/>
                <w:spacing w:val="0"/>
                <w:sz w:val="18"/>
                <w:szCs w:val="18"/>
              </w:rPr>
              <w:t xml:space="preserve">APORTES RECIBIDOS Y PAGADOS </w:t>
            </w:r>
            <w:r w:rsidRPr="00232EBB">
              <w:rPr>
                <w:rFonts w:eastAsia="Times New Roman"/>
                <w:b/>
                <w:bCs/>
                <w:color w:val="FFFFFF"/>
                <w:spacing w:val="0"/>
                <w:sz w:val="18"/>
                <w:szCs w:val="18"/>
              </w:rPr>
              <w:br/>
              <w:t>202</w:t>
            </w:r>
            <w:r w:rsidR="00582DB8">
              <w:rPr>
                <w:rFonts w:eastAsia="Times New Roman"/>
                <w:b/>
                <w:bCs/>
                <w:color w:val="FFFFFF"/>
                <w:spacing w:val="0"/>
                <w:sz w:val="18"/>
                <w:szCs w:val="18"/>
              </w:rPr>
              <w:t>5</w:t>
            </w:r>
          </w:p>
        </w:tc>
        <w:tc>
          <w:tcPr>
            <w:tcW w:w="2407" w:type="dxa"/>
            <w:tcBorders>
              <w:top w:val="single" w:sz="8" w:space="0" w:color="auto"/>
              <w:left w:val="single" w:sz="4" w:space="0" w:color="auto"/>
              <w:bottom w:val="nil"/>
              <w:right w:val="single" w:sz="8" w:space="0" w:color="auto"/>
            </w:tcBorders>
            <w:shd w:val="clear" w:color="000000" w:fill="002060"/>
            <w:vAlign w:val="center"/>
            <w:hideMark/>
          </w:tcPr>
          <w:p w14:paraId="3C161D0B" w14:textId="13083255" w:rsidR="00A741F1" w:rsidRPr="00232EBB" w:rsidRDefault="00A741F1" w:rsidP="00822846">
            <w:pPr>
              <w:spacing w:after="0" w:line="240" w:lineRule="auto"/>
              <w:jc w:val="center"/>
              <w:rPr>
                <w:rFonts w:eastAsia="Times New Roman"/>
                <w:b/>
                <w:bCs/>
                <w:color w:val="FFFFFF"/>
                <w:spacing w:val="0"/>
                <w:sz w:val="18"/>
                <w:szCs w:val="18"/>
                <w:lang w:val="es-ES"/>
              </w:rPr>
            </w:pPr>
            <w:r w:rsidRPr="00232EBB">
              <w:rPr>
                <w:rFonts w:eastAsia="Times New Roman"/>
                <w:b/>
                <w:bCs/>
                <w:color w:val="FFFFFF"/>
                <w:spacing w:val="0"/>
                <w:sz w:val="18"/>
                <w:szCs w:val="18"/>
                <w:lang w:val="es-ES"/>
              </w:rPr>
              <w:t>HISTORICO APORTES RECIBIDOS Y PAGADOS</w:t>
            </w:r>
            <w:r w:rsidRPr="00232EBB">
              <w:rPr>
                <w:rFonts w:eastAsia="Times New Roman"/>
                <w:b/>
                <w:bCs/>
                <w:color w:val="FFFFFF"/>
                <w:spacing w:val="0"/>
                <w:sz w:val="18"/>
                <w:szCs w:val="18"/>
                <w:lang w:val="es-ES"/>
              </w:rPr>
              <w:br/>
              <w:t xml:space="preserve"> (2002-202</w:t>
            </w:r>
            <w:r w:rsidR="0027210F" w:rsidRPr="00232EBB">
              <w:rPr>
                <w:rFonts w:eastAsia="Times New Roman"/>
                <w:b/>
                <w:bCs/>
                <w:color w:val="FFFFFF"/>
                <w:spacing w:val="0"/>
                <w:sz w:val="18"/>
                <w:szCs w:val="18"/>
                <w:lang w:val="es-ES"/>
              </w:rPr>
              <w:t>5</w:t>
            </w:r>
            <w:r w:rsidRPr="00232EBB">
              <w:rPr>
                <w:rFonts w:eastAsia="Times New Roman"/>
                <w:b/>
                <w:bCs/>
                <w:color w:val="FFFFFF"/>
                <w:spacing w:val="0"/>
                <w:sz w:val="18"/>
                <w:szCs w:val="18"/>
                <w:lang w:val="es-ES"/>
              </w:rPr>
              <w:t>)</w:t>
            </w:r>
          </w:p>
        </w:tc>
      </w:tr>
      <w:tr w:rsidR="00A741F1" w:rsidRPr="00232EBB" w14:paraId="21C11590" w14:textId="77777777" w:rsidTr="00BA2589">
        <w:trPr>
          <w:trHeight w:val="306"/>
          <w:tblHeader/>
        </w:trPr>
        <w:tc>
          <w:tcPr>
            <w:tcW w:w="3140" w:type="dxa"/>
            <w:tcBorders>
              <w:top w:val="nil"/>
              <w:left w:val="single" w:sz="4" w:space="0" w:color="auto"/>
              <w:bottom w:val="single" w:sz="4" w:space="0" w:color="auto"/>
              <w:right w:val="single" w:sz="4" w:space="0" w:color="auto"/>
            </w:tcBorders>
            <w:shd w:val="clear" w:color="000000" w:fill="002060"/>
            <w:noWrap/>
            <w:vAlign w:val="bottom"/>
            <w:hideMark/>
          </w:tcPr>
          <w:p w14:paraId="3AF3E133" w14:textId="2C62E69B" w:rsidR="00A741F1" w:rsidRPr="00232EBB" w:rsidRDefault="00A741F1" w:rsidP="00822846">
            <w:pPr>
              <w:spacing w:after="0" w:line="240" w:lineRule="auto"/>
              <w:jc w:val="center"/>
              <w:rPr>
                <w:rFonts w:eastAsia="Times New Roman"/>
                <w:b/>
                <w:bCs/>
                <w:color w:val="FFFFFF"/>
                <w:spacing w:val="0"/>
                <w:sz w:val="16"/>
                <w:szCs w:val="16"/>
              </w:rPr>
            </w:pPr>
            <w:r w:rsidRPr="00232EBB">
              <w:rPr>
                <w:rFonts w:eastAsia="Times New Roman"/>
                <w:b/>
                <w:bCs/>
                <w:color w:val="FFFFFF"/>
                <w:spacing w:val="0"/>
                <w:sz w:val="16"/>
                <w:szCs w:val="16"/>
              </w:rPr>
              <w:t>BALANCE INICIAL</w:t>
            </w:r>
          </w:p>
        </w:tc>
        <w:tc>
          <w:tcPr>
            <w:tcW w:w="2353" w:type="dxa"/>
            <w:tcBorders>
              <w:top w:val="single" w:sz="4" w:space="0" w:color="auto"/>
              <w:left w:val="nil"/>
              <w:bottom w:val="single" w:sz="4" w:space="0" w:color="auto"/>
              <w:right w:val="single" w:sz="4" w:space="0" w:color="auto"/>
            </w:tcBorders>
            <w:shd w:val="clear" w:color="000000" w:fill="002060"/>
            <w:noWrap/>
            <w:vAlign w:val="bottom"/>
            <w:hideMark/>
          </w:tcPr>
          <w:p w14:paraId="39132843" w14:textId="452810B1" w:rsidR="00A741F1" w:rsidRPr="00232EBB" w:rsidRDefault="0027210F" w:rsidP="00822846">
            <w:pPr>
              <w:spacing w:after="0" w:line="240" w:lineRule="auto"/>
              <w:jc w:val="center"/>
              <w:rPr>
                <w:rFonts w:eastAsia="Times New Roman"/>
                <w:b/>
                <w:bCs/>
                <w:color w:val="FFFFFF"/>
                <w:spacing w:val="0"/>
                <w:sz w:val="16"/>
                <w:szCs w:val="16"/>
              </w:rPr>
            </w:pPr>
            <w:r w:rsidRPr="00232EBB">
              <w:rPr>
                <w:rFonts w:eastAsia="Times New Roman"/>
                <w:b/>
                <w:bCs/>
                <w:color w:val="FFFFFF"/>
                <w:spacing w:val="0"/>
                <w:sz w:val="16"/>
                <w:szCs w:val="16"/>
              </w:rPr>
              <w:t>231,528,567.31</w:t>
            </w:r>
          </w:p>
        </w:tc>
        <w:tc>
          <w:tcPr>
            <w:tcW w:w="2407" w:type="dxa"/>
            <w:tcBorders>
              <w:top w:val="single" w:sz="4" w:space="0" w:color="auto"/>
              <w:left w:val="nil"/>
              <w:bottom w:val="single" w:sz="4" w:space="0" w:color="auto"/>
              <w:right w:val="single" w:sz="4" w:space="0" w:color="auto"/>
            </w:tcBorders>
            <w:shd w:val="clear" w:color="000000" w:fill="002060"/>
            <w:noWrap/>
            <w:vAlign w:val="bottom"/>
            <w:hideMark/>
          </w:tcPr>
          <w:p w14:paraId="2EFC57CD" w14:textId="1E2D060D" w:rsidR="00A741F1" w:rsidRPr="00232EBB" w:rsidRDefault="00A741F1" w:rsidP="00822846">
            <w:pPr>
              <w:spacing w:after="0" w:line="240" w:lineRule="auto"/>
              <w:jc w:val="center"/>
              <w:rPr>
                <w:rFonts w:eastAsia="Times New Roman"/>
                <w:b/>
                <w:bCs/>
                <w:color w:val="FFFFFF"/>
                <w:spacing w:val="0"/>
                <w:sz w:val="16"/>
                <w:szCs w:val="16"/>
              </w:rPr>
            </w:pPr>
            <w:r w:rsidRPr="00232EBB">
              <w:rPr>
                <w:rFonts w:eastAsia="Times New Roman"/>
                <w:b/>
                <w:bCs/>
                <w:color w:val="FFFFFF"/>
                <w:spacing w:val="0"/>
                <w:sz w:val="16"/>
                <w:szCs w:val="16"/>
              </w:rPr>
              <w:t>-</w:t>
            </w:r>
          </w:p>
        </w:tc>
      </w:tr>
      <w:tr w:rsidR="00A741F1" w:rsidRPr="00232EBB" w14:paraId="051ACD0B" w14:textId="77777777" w:rsidTr="00BA2589">
        <w:trPr>
          <w:trHeight w:val="413"/>
        </w:trPr>
        <w:tc>
          <w:tcPr>
            <w:tcW w:w="3140" w:type="dxa"/>
            <w:tcBorders>
              <w:top w:val="nil"/>
              <w:left w:val="single" w:sz="8" w:space="0" w:color="auto"/>
              <w:bottom w:val="single" w:sz="4" w:space="0" w:color="auto"/>
              <w:right w:val="nil"/>
            </w:tcBorders>
            <w:noWrap/>
            <w:vAlign w:val="bottom"/>
            <w:hideMark/>
          </w:tcPr>
          <w:p w14:paraId="0764F0BC" w14:textId="77777777" w:rsidR="00A741F1" w:rsidRPr="00232EBB" w:rsidRDefault="00A741F1" w:rsidP="00A741F1">
            <w:pPr>
              <w:spacing w:after="0" w:line="240" w:lineRule="auto"/>
              <w:rPr>
                <w:rFonts w:eastAsia="Calibri"/>
                <w:noProof/>
                <w:sz w:val="22"/>
                <w:szCs w:val="22"/>
                <w:lang w:val="es-ES"/>
              </w:rPr>
            </w:pPr>
            <w:r w:rsidRPr="00232EBB">
              <w:rPr>
                <w:rFonts w:eastAsia="Calibri"/>
                <w:noProof/>
                <w:sz w:val="22"/>
                <w:szCs w:val="22"/>
                <w:lang w:val="es-ES"/>
              </w:rPr>
              <w:t>MAS:</w:t>
            </w:r>
          </w:p>
        </w:tc>
        <w:tc>
          <w:tcPr>
            <w:tcW w:w="2353" w:type="dxa"/>
            <w:tcBorders>
              <w:top w:val="nil"/>
              <w:left w:val="single" w:sz="4" w:space="0" w:color="auto"/>
              <w:bottom w:val="single" w:sz="4" w:space="0" w:color="auto"/>
              <w:right w:val="nil"/>
            </w:tcBorders>
            <w:noWrap/>
            <w:vAlign w:val="bottom"/>
            <w:hideMark/>
          </w:tcPr>
          <w:p w14:paraId="46741159" w14:textId="77777777" w:rsidR="00A741F1" w:rsidRPr="00232EBB" w:rsidRDefault="00A741F1" w:rsidP="00A741F1">
            <w:pPr>
              <w:spacing w:after="0" w:line="240" w:lineRule="auto"/>
              <w:rPr>
                <w:rFonts w:eastAsia="Calibri"/>
                <w:noProof/>
                <w:sz w:val="22"/>
                <w:szCs w:val="22"/>
                <w:lang w:val="es-ES"/>
              </w:rPr>
            </w:pPr>
            <w:r w:rsidRPr="00232EBB">
              <w:rPr>
                <w:rFonts w:eastAsia="Calibri"/>
                <w:noProof/>
                <w:sz w:val="22"/>
                <w:szCs w:val="22"/>
                <w:lang w:val="es-ES"/>
              </w:rPr>
              <w:t> </w:t>
            </w:r>
          </w:p>
        </w:tc>
        <w:tc>
          <w:tcPr>
            <w:tcW w:w="2407" w:type="dxa"/>
            <w:tcBorders>
              <w:top w:val="nil"/>
              <w:left w:val="single" w:sz="4" w:space="0" w:color="auto"/>
              <w:bottom w:val="single" w:sz="4" w:space="0" w:color="auto"/>
              <w:right w:val="single" w:sz="8" w:space="0" w:color="auto"/>
            </w:tcBorders>
            <w:vAlign w:val="bottom"/>
            <w:hideMark/>
          </w:tcPr>
          <w:p w14:paraId="6DCA4DE2" w14:textId="77777777" w:rsidR="00A741F1" w:rsidRPr="00232EBB" w:rsidRDefault="00A741F1" w:rsidP="00A741F1">
            <w:pPr>
              <w:spacing w:after="0" w:line="240" w:lineRule="auto"/>
              <w:jc w:val="center"/>
              <w:rPr>
                <w:rFonts w:eastAsia="Calibri"/>
                <w:noProof/>
                <w:sz w:val="22"/>
                <w:szCs w:val="22"/>
                <w:lang w:val="es-ES"/>
              </w:rPr>
            </w:pPr>
            <w:r w:rsidRPr="00232EBB">
              <w:rPr>
                <w:rFonts w:eastAsia="Calibri"/>
                <w:noProof/>
                <w:sz w:val="22"/>
                <w:szCs w:val="22"/>
                <w:lang w:val="es-ES"/>
              </w:rPr>
              <w:t> </w:t>
            </w:r>
          </w:p>
        </w:tc>
      </w:tr>
      <w:tr w:rsidR="00A741F1" w:rsidRPr="00232EBB" w14:paraId="732995F8" w14:textId="77777777" w:rsidTr="00BA2589">
        <w:trPr>
          <w:trHeight w:val="306"/>
        </w:trPr>
        <w:tc>
          <w:tcPr>
            <w:tcW w:w="3140" w:type="dxa"/>
            <w:tcBorders>
              <w:top w:val="nil"/>
              <w:left w:val="single" w:sz="8" w:space="0" w:color="auto"/>
              <w:bottom w:val="single" w:sz="4" w:space="0" w:color="auto"/>
              <w:right w:val="nil"/>
            </w:tcBorders>
            <w:noWrap/>
            <w:vAlign w:val="bottom"/>
            <w:hideMark/>
          </w:tcPr>
          <w:p w14:paraId="7038CEDF" w14:textId="7C4AB06E" w:rsidR="00A741F1" w:rsidRPr="00232EBB" w:rsidRDefault="00836944" w:rsidP="00A741F1">
            <w:pPr>
              <w:spacing w:after="0" w:line="240" w:lineRule="auto"/>
              <w:rPr>
                <w:rFonts w:eastAsia="Calibri"/>
                <w:noProof/>
                <w:sz w:val="22"/>
                <w:szCs w:val="22"/>
                <w:lang w:val="es-ES"/>
              </w:rPr>
            </w:pPr>
            <w:r w:rsidRPr="00232EBB">
              <w:rPr>
                <w:rFonts w:eastAsia="Calibri"/>
                <w:noProof/>
                <w:sz w:val="22"/>
                <w:szCs w:val="22"/>
                <w:lang w:val="es-ES"/>
              </w:rPr>
              <w:t>Aportes Recibidos Del Estado Dominicano</w:t>
            </w:r>
          </w:p>
        </w:tc>
        <w:tc>
          <w:tcPr>
            <w:tcW w:w="2353" w:type="dxa"/>
            <w:tcBorders>
              <w:top w:val="nil"/>
              <w:left w:val="single" w:sz="4" w:space="0" w:color="auto"/>
              <w:bottom w:val="single" w:sz="4" w:space="0" w:color="auto"/>
              <w:right w:val="nil"/>
            </w:tcBorders>
            <w:noWrap/>
            <w:vAlign w:val="center"/>
            <w:hideMark/>
          </w:tcPr>
          <w:p w14:paraId="4E6543D6" w14:textId="4B2333A2" w:rsidR="00A741F1" w:rsidRPr="00232EBB" w:rsidRDefault="0027210F" w:rsidP="002D2273">
            <w:pPr>
              <w:spacing w:after="0" w:line="240" w:lineRule="auto"/>
              <w:jc w:val="center"/>
              <w:rPr>
                <w:rFonts w:eastAsia="Calibri"/>
                <w:noProof/>
                <w:sz w:val="22"/>
                <w:szCs w:val="22"/>
                <w:lang w:val="es-ES"/>
              </w:rPr>
            </w:pPr>
            <w:r w:rsidRPr="00232EBB">
              <w:rPr>
                <w:rFonts w:eastAsia="Calibri"/>
                <w:noProof/>
                <w:sz w:val="22"/>
                <w:szCs w:val="22"/>
                <w:lang w:val="es-ES"/>
              </w:rPr>
              <w:t>18,285,004,047.11</w:t>
            </w:r>
          </w:p>
        </w:tc>
        <w:tc>
          <w:tcPr>
            <w:tcW w:w="2407" w:type="dxa"/>
            <w:tcBorders>
              <w:top w:val="nil"/>
              <w:left w:val="single" w:sz="4" w:space="0" w:color="auto"/>
              <w:bottom w:val="single" w:sz="4" w:space="0" w:color="auto"/>
              <w:right w:val="single" w:sz="8" w:space="0" w:color="auto"/>
            </w:tcBorders>
            <w:noWrap/>
            <w:vAlign w:val="center"/>
            <w:hideMark/>
          </w:tcPr>
          <w:p w14:paraId="1DE84847" w14:textId="3B10BFE3" w:rsidR="00A741F1" w:rsidRPr="00232EBB" w:rsidRDefault="0027210F" w:rsidP="002D2273">
            <w:pPr>
              <w:spacing w:after="0" w:line="240" w:lineRule="auto"/>
              <w:jc w:val="center"/>
              <w:rPr>
                <w:rFonts w:eastAsia="Calibri"/>
                <w:noProof/>
                <w:sz w:val="22"/>
                <w:szCs w:val="22"/>
                <w:lang w:val="es-ES"/>
              </w:rPr>
            </w:pPr>
            <w:r w:rsidRPr="00232EBB">
              <w:rPr>
                <w:rFonts w:eastAsia="Calibri"/>
                <w:noProof/>
                <w:sz w:val="22"/>
                <w:szCs w:val="22"/>
                <w:lang w:val="es-ES"/>
              </w:rPr>
              <w:t>177,214,893,123.82</w:t>
            </w:r>
          </w:p>
        </w:tc>
      </w:tr>
      <w:tr w:rsidR="00A741F1" w:rsidRPr="00232EBB" w14:paraId="212F4BBA" w14:textId="77777777" w:rsidTr="00BA2589">
        <w:trPr>
          <w:trHeight w:val="359"/>
        </w:trPr>
        <w:tc>
          <w:tcPr>
            <w:tcW w:w="3140" w:type="dxa"/>
            <w:tcBorders>
              <w:top w:val="nil"/>
              <w:left w:val="single" w:sz="8" w:space="0" w:color="auto"/>
              <w:bottom w:val="single" w:sz="4" w:space="0" w:color="auto"/>
              <w:right w:val="nil"/>
            </w:tcBorders>
            <w:noWrap/>
            <w:vAlign w:val="bottom"/>
            <w:hideMark/>
          </w:tcPr>
          <w:p w14:paraId="1D6B448E" w14:textId="5FA5BA5A" w:rsidR="00A741F1" w:rsidRPr="00232EBB" w:rsidRDefault="00836944" w:rsidP="00A741F1">
            <w:pPr>
              <w:spacing w:after="0" w:line="240" w:lineRule="auto"/>
              <w:rPr>
                <w:rFonts w:eastAsia="Calibri"/>
                <w:noProof/>
                <w:sz w:val="22"/>
                <w:szCs w:val="22"/>
                <w:lang w:val="es-ES"/>
              </w:rPr>
            </w:pPr>
            <w:r w:rsidRPr="00232EBB">
              <w:rPr>
                <w:rFonts w:eastAsia="Calibri"/>
                <w:noProof/>
                <w:sz w:val="22"/>
                <w:szCs w:val="22"/>
                <w:lang w:val="es-ES"/>
              </w:rPr>
              <w:t>Aportes Extraordinarios Del Estado Dominicano</w:t>
            </w:r>
          </w:p>
        </w:tc>
        <w:tc>
          <w:tcPr>
            <w:tcW w:w="2353" w:type="dxa"/>
            <w:tcBorders>
              <w:top w:val="nil"/>
              <w:left w:val="single" w:sz="4" w:space="0" w:color="auto"/>
              <w:bottom w:val="single" w:sz="4" w:space="0" w:color="auto"/>
              <w:right w:val="nil"/>
            </w:tcBorders>
            <w:noWrap/>
            <w:vAlign w:val="center"/>
            <w:hideMark/>
          </w:tcPr>
          <w:p w14:paraId="3731BFFF" w14:textId="1CF7817B" w:rsidR="00A741F1" w:rsidRPr="00232EBB" w:rsidRDefault="00A741F1" w:rsidP="002D2273">
            <w:pPr>
              <w:spacing w:after="0" w:line="240" w:lineRule="auto"/>
              <w:jc w:val="center"/>
              <w:rPr>
                <w:rFonts w:eastAsia="Calibri"/>
                <w:noProof/>
                <w:sz w:val="22"/>
                <w:szCs w:val="22"/>
                <w:lang w:val="es-ES"/>
              </w:rPr>
            </w:pPr>
          </w:p>
        </w:tc>
        <w:tc>
          <w:tcPr>
            <w:tcW w:w="2407" w:type="dxa"/>
            <w:tcBorders>
              <w:top w:val="nil"/>
              <w:left w:val="single" w:sz="4" w:space="0" w:color="auto"/>
              <w:bottom w:val="single" w:sz="4" w:space="0" w:color="auto"/>
              <w:right w:val="single" w:sz="8" w:space="0" w:color="auto"/>
            </w:tcBorders>
            <w:noWrap/>
            <w:vAlign w:val="center"/>
            <w:hideMark/>
          </w:tcPr>
          <w:p w14:paraId="0A9F6D43" w14:textId="34E88DCF" w:rsidR="00A741F1" w:rsidRPr="00232EBB" w:rsidRDefault="00A741F1" w:rsidP="002D2273">
            <w:pPr>
              <w:spacing w:after="0" w:line="240" w:lineRule="auto"/>
              <w:jc w:val="center"/>
              <w:rPr>
                <w:rFonts w:eastAsia="Calibri"/>
                <w:noProof/>
                <w:sz w:val="22"/>
                <w:szCs w:val="22"/>
                <w:lang w:val="es-ES"/>
              </w:rPr>
            </w:pPr>
            <w:r w:rsidRPr="00232EBB">
              <w:rPr>
                <w:rFonts w:eastAsia="Calibri"/>
                <w:noProof/>
                <w:sz w:val="22"/>
                <w:szCs w:val="22"/>
                <w:lang w:val="es-ES"/>
              </w:rPr>
              <w:t>3,520,945,324.00</w:t>
            </w:r>
          </w:p>
        </w:tc>
      </w:tr>
      <w:tr w:rsidR="0027210F" w:rsidRPr="00232EBB" w14:paraId="6922CB5E" w14:textId="77777777" w:rsidTr="00BA2589">
        <w:trPr>
          <w:trHeight w:val="536"/>
        </w:trPr>
        <w:tc>
          <w:tcPr>
            <w:tcW w:w="3140" w:type="dxa"/>
            <w:tcBorders>
              <w:top w:val="single" w:sz="4" w:space="0" w:color="auto"/>
              <w:left w:val="single" w:sz="8" w:space="0" w:color="auto"/>
              <w:bottom w:val="single" w:sz="4" w:space="0" w:color="auto"/>
              <w:right w:val="nil"/>
            </w:tcBorders>
            <w:vAlign w:val="bottom"/>
          </w:tcPr>
          <w:p w14:paraId="5FD75C5D" w14:textId="16E1B631" w:rsidR="0027210F" w:rsidRPr="00232EBB" w:rsidRDefault="0027210F" w:rsidP="00A741F1">
            <w:pPr>
              <w:spacing w:after="0" w:line="240" w:lineRule="auto"/>
              <w:rPr>
                <w:rFonts w:eastAsia="Calibri"/>
                <w:noProof/>
                <w:sz w:val="22"/>
                <w:szCs w:val="22"/>
                <w:lang w:val="es-ES"/>
              </w:rPr>
            </w:pPr>
            <w:r w:rsidRPr="00232EBB">
              <w:rPr>
                <w:rFonts w:eastAsia="Calibri"/>
                <w:noProof/>
                <w:sz w:val="22"/>
                <w:szCs w:val="22"/>
                <w:lang w:val="es-ES"/>
              </w:rPr>
              <w:t>Fondos recibidos por el IDOPRIL, segúb Res. De</w:t>
            </w:r>
            <w:r w:rsidR="00836944" w:rsidRPr="00232EBB">
              <w:rPr>
                <w:rFonts w:eastAsia="Calibri"/>
                <w:noProof/>
                <w:sz w:val="22"/>
                <w:szCs w:val="22"/>
                <w:lang w:val="es-ES"/>
              </w:rPr>
              <w:t>l</w:t>
            </w:r>
            <w:r w:rsidRPr="00232EBB">
              <w:rPr>
                <w:rFonts w:eastAsia="Calibri"/>
                <w:noProof/>
                <w:sz w:val="22"/>
                <w:szCs w:val="22"/>
                <w:lang w:val="es-ES"/>
              </w:rPr>
              <w:t xml:space="preserve"> CNSS No. 619-08 de fecha 28 de agosto de 2025f para Protección Salud de las personas</w:t>
            </w:r>
          </w:p>
        </w:tc>
        <w:tc>
          <w:tcPr>
            <w:tcW w:w="2353" w:type="dxa"/>
            <w:tcBorders>
              <w:top w:val="single" w:sz="4" w:space="0" w:color="auto"/>
              <w:left w:val="single" w:sz="4" w:space="0" w:color="auto"/>
              <w:bottom w:val="single" w:sz="4" w:space="0" w:color="auto"/>
              <w:right w:val="nil"/>
            </w:tcBorders>
            <w:noWrap/>
            <w:vAlign w:val="center"/>
          </w:tcPr>
          <w:p w14:paraId="63FF491B" w14:textId="59873B5A" w:rsidR="0027210F" w:rsidRPr="00232EBB" w:rsidRDefault="00A46A25" w:rsidP="002D2273">
            <w:pPr>
              <w:spacing w:after="0" w:line="240" w:lineRule="auto"/>
              <w:jc w:val="center"/>
              <w:rPr>
                <w:rFonts w:eastAsia="Calibri"/>
                <w:noProof/>
                <w:sz w:val="22"/>
                <w:szCs w:val="22"/>
                <w:lang w:val="es-ES"/>
              </w:rPr>
            </w:pPr>
            <w:r w:rsidRPr="00232EBB">
              <w:rPr>
                <w:rFonts w:eastAsia="Calibri"/>
                <w:noProof/>
                <w:sz w:val="22"/>
                <w:szCs w:val="22"/>
                <w:lang w:val="es-ES"/>
              </w:rPr>
              <w:t>6,000,000,000.00</w:t>
            </w:r>
          </w:p>
        </w:tc>
        <w:tc>
          <w:tcPr>
            <w:tcW w:w="2407" w:type="dxa"/>
            <w:tcBorders>
              <w:top w:val="single" w:sz="4" w:space="0" w:color="auto"/>
              <w:left w:val="single" w:sz="4" w:space="0" w:color="auto"/>
              <w:bottom w:val="single" w:sz="4" w:space="0" w:color="auto"/>
              <w:right w:val="single" w:sz="8" w:space="0" w:color="auto"/>
            </w:tcBorders>
            <w:noWrap/>
            <w:vAlign w:val="center"/>
          </w:tcPr>
          <w:p w14:paraId="53A4822D" w14:textId="2D65B1AA" w:rsidR="0027210F" w:rsidRPr="00232EBB" w:rsidRDefault="00A46A25" w:rsidP="002D2273">
            <w:pPr>
              <w:spacing w:after="0" w:line="240" w:lineRule="auto"/>
              <w:jc w:val="center"/>
              <w:rPr>
                <w:rFonts w:eastAsia="Calibri"/>
                <w:noProof/>
                <w:sz w:val="22"/>
                <w:szCs w:val="22"/>
                <w:lang w:val="es-ES"/>
              </w:rPr>
            </w:pPr>
            <w:r w:rsidRPr="00232EBB">
              <w:rPr>
                <w:rFonts w:eastAsia="Calibri"/>
                <w:noProof/>
                <w:sz w:val="22"/>
                <w:szCs w:val="22"/>
                <w:lang w:val="es-ES"/>
              </w:rPr>
              <w:t>6,000,000,000.00</w:t>
            </w:r>
          </w:p>
        </w:tc>
      </w:tr>
      <w:tr w:rsidR="00A741F1" w:rsidRPr="00232EBB" w14:paraId="498BC3B7" w14:textId="77777777" w:rsidTr="00BA2589">
        <w:trPr>
          <w:trHeight w:val="536"/>
        </w:trPr>
        <w:tc>
          <w:tcPr>
            <w:tcW w:w="3140" w:type="dxa"/>
            <w:tcBorders>
              <w:top w:val="single" w:sz="4" w:space="0" w:color="auto"/>
              <w:left w:val="single" w:sz="8" w:space="0" w:color="auto"/>
              <w:bottom w:val="single" w:sz="4" w:space="0" w:color="auto"/>
              <w:right w:val="nil"/>
            </w:tcBorders>
            <w:vAlign w:val="bottom"/>
            <w:hideMark/>
          </w:tcPr>
          <w:p w14:paraId="2E78F4BD" w14:textId="77777777" w:rsidR="00A741F1" w:rsidRPr="00232EBB" w:rsidRDefault="00A741F1" w:rsidP="00A741F1">
            <w:pPr>
              <w:spacing w:after="0" w:line="240" w:lineRule="auto"/>
              <w:rPr>
                <w:rFonts w:eastAsia="Calibri"/>
                <w:noProof/>
                <w:sz w:val="22"/>
                <w:szCs w:val="22"/>
                <w:lang w:val="es-ES"/>
              </w:rPr>
            </w:pPr>
            <w:r w:rsidRPr="00232EBB">
              <w:rPr>
                <w:rFonts w:eastAsia="Calibri"/>
                <w:noProof/>
                <w:sz w:val="22"/>
                <w:szCs w:val="22"/>
                <w:lang w:val="es-ES"/>
              </w:rPr>
              <w:lastRenderedPageBreak/>
              <w:t>Fondos Atenciones Médicas Covid-19  en el mes   ( Aporte extraordinario)</w:t>
            </w:r>
          </w:p>
        </w:tc>
        <w:tc>
          <w:tcPr>
            <w:tcW w:w="2353" w:type="dxa"/>
            <w:tcBorders>
              <w:top w:val="single" w:sz="4" w:space="0" w:color="auto"/>
              <w:left w:val="single" w:sz="4" w:space="0" w:color="auto"/>
              <w:bottom w:val="single" w:sz="4" w:space="0" w:color="auto"/>
              <w:right w:val="nil"/>
            </w:tcBorders>
            <w:noWrap/>
            <w:vAlign w:val="center"/>
            <w:hideMark/>
          </w:tcPr>
          <w:p w14:paraId="7151CC27" w14:textId="5E2F1676" w:rsidR="00A741F1" w:rsidRPr="00232EBB" w:rsidRDefault="00A741F1" w:rsidP="002D2273">
            <w:pPr>
              <w:spacing w:after="0" w:line="240" w:lineRule="auto"/>
              <w:jc w:val="center"/>
              <w:rPr>
                <w:rFonts w:eastAsia="Calibri"/>
                <w:noProof/>
                <w:sz w:val="22"/>
                <w:szCs w:val="22"/>
                <w:lang w:val="es-ES"/>
              </w:rPr>
            </w:pPr>
          </w:p>
        </w:tc>
        <w:tc>
          <w:tcPr>
            <w:tcW w:w="2407" w:type="dxa"/>
            <w:tcBorders>
              <w:top w:val="single" w:sz="4" w:space="0" w:color="auto"/>
              <w:left w:val="single" w:sz="4" w:space="0" w:color="auto"/>
              <w:bottom w:val="single" w:sz="4" w:space="0" w:color="auto"/>
              <w:right w:val="single" w:sz="8" w:space="0" w:color="auto"/>
            </w:tcBorders>
            <w:noWrap/>
            <w:vAlign w:val="center"/>
            <w:hideMark/>
          </w:tcPr>
          <w:p w14:paraId="6A11D7AC" w14:textId="68E7FEE6" w:rsidR="00A741F1" w:rsidRPr="00232EBB" w:rsidRDefault="00A741F1" w:rsidP="002D2273">
            <w:pPr>
              <w:spacing w:after="0" w:line="240" w:lineRule="auto"/>
              <w:jc w:val="center"/>
              <w:rPr>
                <w:rFonts w:eastAsia="Calibri"/>
                <w:noProof/>
                <w:sz w:val="22"/>
                <w:szCs w:val="22"/>
                <w:lang w:val="es-ES"/>
              </w:rPr>
            </w:pPr>
            <w:r w:rsidRPr="00232EBB">
              <w:rPr>
                <w:rFonts w:eastAsia="Calibri"/>
                <w:noProof/>
                <w:sz w:val="22"/>
                <w:szCs w:val="22"/>
                <w:lang w:val="es-ES"/>
              </w:rPr>
              <w:t>1,498,481,601.68</w:t>
            </w:r>
          </w:p>
        </w:tc>
      </w:tr>
      <w:tr w:rsidR="00A741F1" w:rsidRPr="00232EBB" w14:paraId="2604DBCA" w14:textId="77777777" w:rsidTr="00BA2589">
        <w:trPr>
          <w:trHeight w:val="306"/>
        </w:trPr>
        <w:tc>
          <w:tcPr>
            <w:tcW w:w="3140" w:type="dxa"/>
            <w:tcBorders>
              <w:top w:val="nil"/>
              <w:left w:val="single" w:sz="8" w:space="0" w:color="auto"/>
              <w:bottom w:val="single" w:sz="4" w:space="0" w:color="auto"/>
              <w:right w:val="nil"/>
            </w:tcBorders>
            <w:vAlign w:val="bottom"/>
            <w:hideMark/>
          </w:tcPr>
          <w:p w14:paraId="11E02258" w14:textId="77777777" w:rsidR="00A741F1" w:rsidRPr="00232EBB" w:rsidRDefault="00A741F1" w:rsidP="00A741F1">
            <w:pPr>
              <w:spacing w:after="0" w:line="240" w:lineRule="auto"/>
              <w:rPr>
                <w:rFonts w:eastAsia="Calibri"/>
                <w:noProof/>
                <w:sz w:val="22"/>
                <w:szCs w:val="22"/>
                <w:lang w:val="es-ES"/>
              </w:rPr>
            </w:pPr>
            <w:r w:rsidRPr="00232EBB">
              <w:rPr>
                <w:rFonts w:eastAsia="Calibri"/>
                <w:noProof/>
                <w:sz w:val="22"/>
                <w:szCs w:val="22"/>
                <w:lang w:val="es-ES"/>
              </w:rPr>
              <w:t xml:space="preserve">Efectivo Proveniente  de Rendimiento en Inversiones </w:t>
            </w:r>
          </w:p>
        </w:tc>
        <w:tc>
          <w:tcPr>
            <w:tcW w:w="2353" w:type="dxa"/>
            <w:tcBorders>
              <w:top w:val="nil"/>
              <w:left w:val="single" w:sz="4" w:space="0" w:color="auto"/>
              <w:bottom w:val="single" w:sz="4" w:space="0" w:color="auto"/>
              <w:right w:val="nil"/>
            </w:tcBorders>
            <w:noWrap/>
            <w:vAlign w:val="center"/>
            <w:hideMark/>
          </w:tcPr>
          <w:p w14:paraId="5E923BCB" w14:textId="1B44EA6E" w:rsidR="00A741F1" w:rsidRPr="00232EBB" w:rsidRDefault="00582DB8" w:rsidP="002D2273">
            <w:pPr>
              <w:spacing w:after="0" w:line="240" w:lineRule="auto"/>
              <w:jc w:val="center"/>
              <w:rPr>
                <w:rFonts w:eastAsia="Calibri"/>
                <w:noProof/>
                <w:sz w:val="22"/>
                <w:szCs w:val="22"/>
                <w:lang w:val="es-ES"/>
              </w:rPr>
            </w:pPr>
            <w:r w:rsidRPr="00582DB8">
              <w:rPr>
                <w:rFonts w:eastAsia="Calibri"/>
                <w:noProof/>
                <w:sz w:val="22"/>
                <w:szCs w:val="22"/>
                <w:lang w:val="es-ES"/>
              </w:rPr>
              <w:t>23</w:t>
            </w:r>
            <w:r>
              <w:rPr>
                <w:rFonts w:eastAsia="Calibri"/>
                <w:noProof/>
                <w:sz w:val="22"/>
                <w:szCs w:val="22"/>
                <w:lang w:val="es-ES"/>
              </w:rPr>
              <w:t>,</w:t>
            </w:r>
            <w:r w:rsidRPr="00582DB8">
              <w:rPr>
                <w:rFonts w:eastAsia="Calibri"/>
                <w:noProof/>
                <w:sz w:val="22"/>
                <w:szCs w:val="22"/>
                <w:lang w:val="es-ES"/>
              </w:rPr>
              <w:t>505</w:t>
            </w:r>
            <w:r>
              <w:rPr>
                <w:rFonts w:eastAsia="Calibri"/>
                <w:noProof/>
                <w:sz w:val="22"/>
                <w:szCs w:val="22"/>
                <w:lang w:val="es-ES"/>
              </w:rPr>
              <w:t>,</w:t>
            </w:r>
            <w:r w:rsidRPr="00582DB8">
              <w:rPr>
                <w:rFonts w:eastAsia="Calibri"/>
                <w:noProof/>
                <w:sz w:val="22"/>
                <w:szCs w:val="22"/>
                <w:lang w:val="es-ES"/>
              </w:rPr>
              <w:t>102.29</w:t>
            </w:r>
          </w:p>
        </w:tc>
        <w:tc>
          <w:tcPr>
            <w:tcW w:w="2407" w:type="dxa"/>
            <w:tcBorders>
              <w:top w:val="nil"/>
              <w:left w:val="single" w:sz="4" w:space="0" w:color="auto"/>
              <w:bottom w:val="single" w:sz="4" w:space="0" w:color="auto"/>
              <w:right w:val="single" w:sz="8" w:space="0" w:color="auto"/>
            </w:tcBorders>
            <w:noWrap/>
            <w:vAlign w:val="center"/>
            <w:hideMark/>
          </w:tcPr>
          <w:p w14:paraId="2B0CD2EF" w14:textId="5AB39ED0" w:rsidR="00A741F1" w:rsidRPr="00232EBB" w:rsidRDefault="00582DB8" w:rsidP="002D2273">
            <w:pPr>
              <w:spacing w:after="0" w:line="240" w:lineRule="auto"/>
              <w:jc w:val="center"/>
              <w:rPr>
                <w:rFonts w:eastAsia="Calibri"/>
                <w:noProof/>
                <w:sz w:val="22"/>
                <w:szCs w:val="22"/>
                <w:lang w:val="es-ES"/>
              </w:rPr>
            </w:pPr>
            <w:r>
              <w:rPr>
                <w:rFonts w:eastAsia="Calibri"/>
                <w:noProof/>
                <w:sz w:val="22"/>
                <w:szCs w:val="22"/>
                <w:lang w:val="es-ES"/>
              </w:rPr>
              <w:t>328,254,407.39</w:t>
            </w:r>
          </w:p>
        </w:tc>
      </w:tr>
      <w:tr w:rsidR="00A741F1" w:rsidRPr="00232EBB" w14:paraId="6A7924FA" w14:textId="77777777" w:rsidTr="00BA2589">
        <w:trPr>
          <w:trHeight w:val="306"/>
        </w:trPr>
        <w:tc>
          <w:tcPr>
            <w:tcW w:w="3140" w:type="dxa"/>
            <w:tcBorders>
              <w:top w:val="nil"/>
              <w:left w:val="single" w:sz="8" w:space="0" w:color="auto"/>
              <w:bottom w:val="single" w:sz="4" w:space="0" w:color="auto"/>
              <w:right w:val="nil"/>
            </w:tcBorders>
            <w:vAlign w:val="bottom"/>
            <w:hideMark/>
          </w:tcPr>
          <w:p w14:paraId="23709A5E" w14:textId="77777777" w:rsidR="00A741F1" w:rsidRPr="00232EBB" w:rsidRDefault="00A741F1" w:rsidP="00A741F1">
            <w:pPr>
              <w:spacing w:after="0" w:line="240" w:lineRule="auto"/>
              <w:rPr>
                <w:rFonts w:eastAsia="Calibri"/>
                <w:noProof/>
                <w:sz w:val="22"/>
                <w:szCs w:val="22"/>
                <w:lang w:val="es-ES"/>
              </w:rPr>
            </w:pPr>
            <w:r w:rsidRPr="00232EBB">
              <w:rPr>
                <w:rFonts w:eastAsia="Calibri"/>
                <w:noProof/>
                <w:sz w:val="22"/>
                <w:szCs w:val="22"/>
                <w:lang w:val="es-ES"/>
              </w:rPr>
              <w:t xml:space="preserve">Rendimientos Capitalizados </w:t>
            </w:r>
          </w:p>
        </w:tc>
        <w:tc>
          <w:tcPr>
            <w:tcW w:w="2353" w:type="dxa"/>
            <w:tcBorders>
              <w:top w:val="nil"/>
              <w:left w:val="single" w:sz="4" w:space="0" w:color="auto"/>
              <w:bottom w:val="single" w:sz="4" w:space="0" w:color="auto"/>
              <w:right w:val="nil"/>
            </w:tcBorders>
            <w:noWrap/>
            <w:vAlign w:val="center"/>
            <w:hideMark/>
          </w:tcPr>
          <w:p w14:paraId="31DED4A7" w14:textId="6A6B5E26" w:rsidR="00A741F1" w:rsidRPr="00232EBB" w:rsidRDefault="00582DB8" w:rsidP="002D2273">
            <w:pPr>
              <w:spacing w:after="0" w:line="240" w:lineRule="auto"/>
              <w:jc w:val="center"/>
              <w:rPr>
                <w:rFonts w:eastAsia="Calibri"/>
                <w:noProof/>
                <w:sz w:val="22"/>
                <w:szCs w:val="22"/>
                <w:lang w:val="es-ES"/>
              </w:rPr>
            </w:pPr>
            <w:r>
              <w:rPr>
                <w:rFonts w:eastAsia="Calibri"/>
                <w:noProof/>
                <w:sz w:val="22"/>
                <w:szCs w:val="22"/>
                <w:lang w:val="es-ES"/>
              </w:rPr>
              <w:t>41,807,020.46</w:t>
            </w:r>
          </w:p>
        </w:tc>
        <w:tc>
          <w:tcPr>
            <w:tcW w:w="2407" w:type="dxa"/>
            <w:tcBorders>
              <w:top w:val="nil"/>
              <w:left w:val="single" w:sz="4" w:space="0" w:color="auto"/>
              <w:bottom w:val="single" w:sz="4" w:space="0" w:color="auto"/>
              <w:right w:val="single" w:sz="8" w:space="0" w:color="auto"/>
            </w:tcBorders>
            <w:noWrap/>
            <w:vAlign w:val="center"/>
            <w:hideMark/>
          </w:tcPr>
          <w:p w14:paraId="4C90CF9A" w14:textId="14FD1842" w:rsidR="00A741F1" w:rsidRPr="00232EBB" w:rsidRDefault="00582DB8" w:rsidP="002D2273">
            <w:pPr>
              <w:spacing w:after="0" w:line="240" w:lineRule="auto"/>
              <w:jc w:val="center"/>
              <w:rPr>
                <w:rFonts w:eastAsia="Calibri"/>
                <w:noProof/>
                <w:sz w:val="22"/>
                <w:szCs w:val="22"/>
                <w:lang w:val="es-ES"/>
              </w:rPr>
            </w:pPr>
            <w:r>
              <w:rPr>
                <w:rFonts w:eastAsia="Calibri"/>
                <w:noProof/>
                <w:sz w:val="22"/>
                <w:szCs w:val="22"/>
                <w:lang w:val="es-ES"/>
              </w:rPr>
              <w:t>170,421,026.22</w:t>
            </w:r>
          </w:p>
        </w:tc>
      </w:tr>
      <w:tr w:rsidR="00A741F1" w:rsidRPr="00232EBB" w14:paraId="29153F84" w14:textId="77777777" w:rsidTr="00BA2589">
        <w:trPr>
          <w:trHeight w:val="306"/>
        </w:trPr>
        <w:tc>
          <w:tcPr>
            <w:tcW w:w="3140" w:type="dxa"/>
            <w:tcBorders>
              <w:top w:val="single" w:sz="8" w:space="0" w:color="auto"/>
              <w:left w:val="single" w:sz="8" w:space="0" w:color="auto"/>
              <w:bottom w:val="single" w:sz="4" w:space="0" w:color="auto"/>
              <w:right w:val="nil"/>
            </w:tcBorders>
            <w:shd w:val="clear" w:color="000000" w:fill="002060"/>
            <w:noWrap/>
            <w:vAlign w:val="bottom"/>
            <w:hideMark/>
          </w:tcPr>
          <w:p w14:paraId="0B8F8DDA" w14:textId="77777777" w:rsidR="00A741F1" w:rsidRPr="00232EBB" w:rsidRDefault="00A741F1" w:rsidP="00A741F1">
            <w:pPr>
              <w:spacing w:after="0" w:line="240" w:lineRule="auto"/>
              <w:rPr>
                <w:rFonts w:eastAsia="Calibri"/>
                <w:noProof/>
                <w:color w:val="FFFFFF" w:themeColor="background1"/>
                <w:sz w:val="22"/>
                <w:szCs w:val="22"/>
                <w:lang w:val="es-ES"/>
              </w:rPr>
            </w:pPr>
            <w:r w:rsidRPr="00232EBB">
              <w:rPr>
                <w:rFonts w:eastAsia="Calibri"/>
                <w:noProof/>
                <w:color w:val="FFFFFF" w:themeColor="background1"/>
                <w:sz w:val="22"/>
                <w:szCs w:val="22"/>
                <w:lang w:val="es-ES"/>
              </w:rPr>
              <w:t>TOTAL APORTES RECIBIDOS</w:t>
            </w:r>
          </w:p>
        </w:tc>
        <w:tc>
          <w:tcPr>
            <w:tcW w:w="2353" w:type="dxa"/>
            <w:tcBorders>
              <w:top w:val="nil"/>
              <w:left w:val="single" w:sz="4" w:space="0" w:color="auto"/>
              <w:bottom w:val="single" w:sz="4" w:space="0" w:color="auto"/>
              <w:right w:val="single" w:sz="8" w:space="0" w:color="auto"/>
            </w:tcBorders>
            <w:shd w:val="clear" w:color="000000" w:fill="002060"/>
            <w:noWrap/>
            <w:vAlign w:val="center"/>
            <w:hideMark/>
          </w:tcPr>
          <w:p w14:paraId="1D419487" w14:textId="261E816B" w:rsidR="00A741F1" w:rsidRPr="00232EBB" w:rsidRDefault="00A46A25" w:rsidP="002D2273">
            <w:pPr>
              <w:spacing w:after="0" w:line="240" w:lineRule="auto"/>
              <w:jc w:val="center"/>
              <w:rPr>
                <w:rFonts w:eastAsia="Calibri"/>
                <w:noProof/>
                <w:color w:val="FFFFFF" w:themeColor="background1"/>
                <w:sz w:val="22"/>
                <w:szCs w:val="22"/>
                <w:lang w:val="es-ES"/>
              </w:rPr>
            </w:pPr>
            <w:r w:rsidRPr="00232EBB">
              <w:rPr>
                <w:rFonts w:eastAsia="Calibri"/>
                <w:noProof/>
                <w:color w:val="FFFFFF" w:themeColor="background1"/>
                <w:sz w:val="22"/>
                <w:szCs w:val="22"/>
                <w:lang w:val="es-ES"/>
              </w:rPr>
              <w:t>24,</w:t>
            </w:r>
            <w:r w:rsidR="00582DB8">
              <w:rPr>
                <w:rFonts w:eastAsia="Calibri"/>
                <w:noProof/>
                <w:color w:val="FFFFFF" w:themeColor="background1"/>
                <w:sz w:val="22"/>
                <w:szCs w:val="22"/>
                <w:lang w:val="es-ES"/>
              </w:rPr>
              <w:t>581,844.737.17</w:t>
            </w:r>
          </w:p>
        </w:tc>
        <w:tc>
          <w:tcPr>
            <w:tcW w:w="2407" w:type="dxa"/>
            <w:tcBorders>
              <w:top w:val="nil"/>
              <w:left w:val="single" w:sz="4" w:space="0" w:color="auto"/>
              <w:bottom w:val="single" w:sz="4" w:space="0" w:color="auto"/>
              <w:right w:val="single" w:sz="8" w:space="0" w:color="auto"/>
            </w:tcBorders>
            <w:shd w:val="clear" w:color="000000" w:fill="002060"/>
            <w:noWrap/>
            <w:vAlign w:val="center"/>
            <w:hideMark/>
          </w:tcPr>
          <w:p w14:paraId="77EBB896" w14:textId="0406960D" w:rsidR="00A741F1" w:rsidRPr="00232EBB" w:rsidRDefault="00A46A25" w:rsidP="002D2273">
            <w:pPr>
              <w:spacing w:after="0" w:line="240" w:lineRule="auto"/>
              <w:jc w:val="center"/>
              <w:rPr>
                <w:rFonts w:eastAsia="Calibri"/>
                <w:noProof/>
                <w:color w:val="FFFFFF" w:themeColor="background1"/>
                <w:sz w:val="22"/>
                <w:szCs w:val="22"/>
                <w:lang w:val="es-ES"/>
              </w:rPr>
            </w:pPr>
            <w:r w:rsidRPr="00232EBB">
              <w:rPr>
                <w:rFonts w:eastAsia="Calibri"/>
                <w:noProof/>
                <w:color w:val="FFFFFF" w:themeColor="background1"/>
                <w:sz w:val="22"/>
                <w:szCs w:val="22"/>
                <w:lang w:val="es-ES"/>
              </w:rPr>
              <w:t>188,</w:t>
            </w:r>
            <w:r w:rsidR="00582DB8">
              <w:rPr>
                <w:rFonts w:eastAsia="Calibri"/>
                <w:noProof/>
                <w:color w:val="FFFFFF" w:themeColor="background1"/>
                <w:sz w:val="22"/>
                <w:szCs w:val="22"/>
                <w:lang w:val="es-ES"/>
              </w:rPr>
              <w:t>732,995,483.11</w:t>
            </w:r>
          </w:p>
        </w:tc>
      </w:tr>
      <w:tr w:rsidR="00A741F1" w:rsidRPr="00232EBB" w14:paraId="7FFF1332" w14:textId="77777777" w:rsidTr="00BA2589">
        <w:trPr>
          <w:trHeight w:val="306"/>
        </w:trPr>
        <w:tc>
          <w:tcPr>
            <w:tcW w:w="3140" w:type="dxa"/>
            <w:tcBorders>
              <w:top w:val="nil"/>
              <w:left w:val="single" w:sz="8" w:space="0" w:color="auto"/>
              <w:bottom w:val="single" w:sz="4" w:space="0" w:color="auto"/>
              <w:right w:val="nil"/>
            </w:tcBorders>
            <w:noWrap/>
            <w:vAlign w:val="bottom"/>
            <w:hideMark/>
          </w:tcPr>
          <w:p w14:paraId="162E2B1E" w14:textId="77777777" w:rsidR="00A741F1" w:rsidRPr="00232EBB" w:rsidRDefault="00A741F1" w:rsidP="00A741F1">
            <w:pPr>
              <w:spacing w:after="0" w:line="240" w:lineRule="auto"/>
              <w:rPr>
                <w:rFonts w:eastAsia="Calibri"/>
                <w:noProof/>
                <w:sz w:val="22"/>
                <w:szCs w:val="22"/>
                <w:lang w:val="es-ES"/>
              </w:rPr>
            </w:pPr>
            <w:r w:rsidRPr="00232EBB">
              <w:rPr>
                <w:rFonts w:eastAsia="Calibri"/>
                <w:noProof/>
                <w:sz w:val="22"/>
                <w:szCs w:val="22"/>
                <w:lang w:val="es-ES"/>
              </w:rPr>
              <w:t>MENOS:</w:t>
            </w:r>
          </w:p>
        </w:tc>
        <w:tc>
          <w:tcPr>
            <w:tcW w:w="2353" w:type="dxa"/>
            <w:tcBorders>
              <w:top w:val="nil"/>
              <w:left w:val="single" w:sz="4" w:space="0" w:color="auto"/>
              <w:bottom w:val="single" w:sz="4" w:space="0" w:color="auto"/>
              <w:right w:val="nil"/>
            </w:tcBorders>
            <w:noWrap/>
            <w:vAlign w:val="center"/>
            <w:hideMark/>
          </w:tcPr>
          <w:p w14:paraId="0438D700" w14:textId="5C27B337" w:rsidR="00A741F1" w:rsidRPr="00232EBB" w:rsidRDefault="00A741F1" w:rsidP="002D2273">
            <w:pPr>
              <w:spacing w:after="0" w:line="240" w:lineRule="auto"/>
              <w:jc w:val="center"/>
              <w:rPr>
                <w:rFonts w:eastAsia="Calibri"/>
                <w:noProof/>
                <w:sz w:val="22"/>
                <w:szCs w:val="22"/>
                <w:lang w:val="es-ES"/>
              </w:rPr>
            </w:pPr>
          </w:p>
        </w:tc>
        <w:tc>
          <w:tcPr>
            <w:tcW w:w="2407" w:type="dxa"/>
            <w:tcBorders>
              <w:top w:val="nil"/>
              <w:left w:val="single" w:sz="4" w:space="0" w:color="auto"/>
              <w:bottom w:val="single" w:sz="4" w:space="0" w:color="auto"/>
              <w:right w:val="single" w:sz="8" w:space="0" w:color="auto"/>
            </w:tcBorders>
            <w:noWrap/>
            <w:vAlign w:val="center"/>
            <w:hideMark/>
          </w:tcPr>
          <w:p w14:paraId="139CC35A" w14:textId="7A1339A4" w:rsidR="00A741F1" w:rsidRPr="00232EBB" w:rsidRDefault="00A741F1" w:rsidP="002D2273">
            <w:pPr>
              <w:spacing w:after="0" w:line="240" w:lineRule="auto"/>
              <w:jc w:val="center"/>
              <w:rPr>
                <w:rFonts w:eastAsia="Calibri"/>
                <w:noProof/>
                <w:sz w:val="22"/>
                <w:szCs w:val="22"/>
                <w:lang w:val="es-ES"/>
              </w:rPr>
            </w:pPr>
          </w:p>
        </w:tc>
      </w:tr>
      <w:tr w:rsidR="00A741F1" w:rsidRPr="00232EBB" w14:paraId="242F6321" w14:textId="77777777" w:rsidTr="00BA2589">
        <w:trPr>
          <w:trHeight w:val="306"/>
        </w:trPr>
        <w:tc>
          <w:tcPr>
            <w:tcW w:w="3140" w:type="dxa"/>
            <w:tcBorders>
              <w:top w:val="single" w:sz="4" w:space="0" w:color="auto"/>
              <w:left w:val="single" w:sz="8" w:space="0" w:color="auto"/>
              <w:bottom w:val="single" w:sz="4" w:space="0" w:color="auto"/>
              <w:right w:val="nil"/>
            </w:tcBorders>
            <w:noWrap/>
            <w:vAlign w:val="bottom"/>
            <w:hideMark/>
          </w:tcPr>
          <w:p w14:paraId="77904FE5" w14:textId="77777777" w:rsidR="00A741F1" w:rsidRPr="00232EBB" w:rsidRDefault="00A741F1" w:rsidP="00A741F1">
            <w:pPr>
              <w:spacing w:after="0" w:line="240" w:lineRule="auto"/>
              <w:rPr>
                <w:rFonts w:eastAsia="Calibri"/>
                <w:noProof/>
                <w:sz w:val="22"/>
                <w:szCs w:val="22"/>
                <w:lang w:val="es-ES"/>
              </w:rPr>
            </w:pPr>
            <w:r w:rsidRPr="00232EBB">
              <w:rPr>
                <w:rFonts w:eastAsia="Calibri"/>
                <w:noProof/>
                <w:sz w:val="22"/>
                <w:szCs w:val="22"/>
                <w:lang w:val="es-ES"/>
              </w:rPr>
              <w:t>PAGOS AL SEGURO NACIONAL DE SALUD (CSP)</w:t>
            </w:r>
          </w:p>
        </w:tc>
        <w:tc>
          <w:tcPr>
            <w:tcW w:w="2353" w:type="dxa"/>
            <w:tcBorders>
              <w:top w:val="single" w:sz="4" w:space="0" w:color="auto"/>
              <w:left w:val="single" w:sz="4" w:space="0" w:color="auto"/>
              <w:bottom w:val="single" w:sz="4" w:space="0" w:color="auto"/>
              <w:right w:val="nil"/>
            </w:tcBorders>
            <w:noWrap/>
            <w:vAlign w:val="center"/>
          </w:tcPr>
          <w:p w14:paraId="76560DFB" w14:textId="25FAE315" w:rsidR="00A741F1" w:rsidRPr="00232EBB" w:rsidRDefault="00144238" w:rsidP="002D2273">
            <w:pPr>
              <w:spacing w:after="0" w:line="240" w:lineRule="auto"/>
              <w:jc w:val="center"/>
              <w:rPr>
                <w:rFonts w:eastAsia="Calibri"/>
                <w:noProof/>
                <w:sz w:val="22"/>
                <w:szCs w:val="22"/>
                <w:lang w:val="es-ES"/>
              </w:rPr>
            </w:pPr>
            <w:r w:rsidRPr="00232EBB">
              <w:rPr>
                <w:rFonts w:eastAsia="Calibri"/>
                <w:noProof/>
                <w:sz w:val="22"/>
                <w:szCs w:val="22"/>
                <w:lang w:val="es-ES"/>
              </w:rPr>
              <w:t>21,986,348,647.56</w:t>
            </w:r>
          </w:p>
        </w:tc>
        <w:tc>
          <w:tcPr>
            <w:tcW w:w="2407" w:type="dxa"/>
            <w:tcBorders>
              <w:top w:val="single" w:sz="4" w:space="0" w:color="auto"/>
              <w:left w:val="single" w:sz="4" w:space="0" w:color="auto"/>
              <w:bottom w:val="single" w:sz="4" w:space="0" w:color="auto"/>
              <w:right w:val="single" w:sz="8" w:space="0" w:color="auto"/>
            </w:tcBorders>
            <w:noWrap/>
            <w:vAlign w:val="center"/>
          </w:tcPr>
          <w:p w14:paraId="5E6357E2" w14:textId="0F13D35D" w:rsidR="00A741F1" w:rsidRPr="00232EBB" w:rsidRDefault="00144238" w:rsidP="002D2273">
            <w:pPr>
              <w:spacing w:after="0" w:line="240" w:lineRule="auto"/>
              <w:jc w:val="center"/>
              <w:rPr>
                <w:rFonts w:eastAsia="Calibri"/>
                <w:noProof/>
                <w:sz w:val="22"/>
                <w:szCs w:val="22"/>
                <w:lang w:val="es-ES"/>
              </w:rPr>
            </w:pPr>
            <w:r w:rsidRPr="00232EBB">
              <w:rPr>
                <w:rFonts w:eastAsia="Calibri"/>
                <w:noProof/>
                <w:sz w:val="22"/>
                <w:szCs w:val="22"/>
                <w:lang w:val="es-ES"/>
              </w:rPr>
              <w:t>179,562,538,476.26</w:t>
            </w:r>
          </w:p>
        </w:tc>
      </w:tr>
      <w:tr w:rsidR="00A741F1" w:rsidRPr="00232EBB" w14:paraId="3BABB428" w14:textId="77777777" w:rsidTr="00BA2589">
        <w:trPr>
          <w:trHeight w:val="321"/>
        </w:trPr>
        <w:tc>
          <w:tcPr>
            <w:tcW w:w="3140" w:type="dxa"/>
            <w:tcBorders>
              <w:top w:val="single" w:sz="4" w:space="0" w:color="auto"/>
              <w:left w:val="single" w:sz="8" w:space="0" w:color="auto"/>
              <w:bottom w:val="single" w:sz="4" w:space="0" w:color="auto"/>
              <w:right w:val="nil"/>
            </w:tcBorders>
            <w:noWrap/>
            <w:vAlign w:val="bottom"/>
            <w:hideMark/>
          </w:tcPr>
          <w:p w14:paraId="48FA9D4A" w14:textId="77777777" w:rsidR="00A741F1" w:rsidRPr="00232EBB" w:rsidRDefault="00A741F1" w:rsidP="00A741F1">
            <w:pPr>
              <w:spacing w:after="0" w:line="240" w:lineRule="auto"/>
              <w:rPr>
                <w:rFonts w:eastAsia="Calibri"/>
                <w:noProof/>
                <w:sz w:val="22"/>
                <w:szCs w:val="22"/>
                <w:lang w:val="es-ES"/>
              </w:rPr>
            </w:pPr>
            <w:r w:rsidRPr="00232EBB">
              <w:rPr>
                <w:rFonts w:eastAsia="Calibri"/>
                <w:noProof/>
                <w:sz w:val="22"/>
                <w:szCs w:val="22"/>
                <w:lang w:val="es-ES"/>
              </w:rPr>
              <w:t>PAGOS AL SEGURO NACIONAL DE SALUD (FONAMAT)</w:t>
            </w:r>
          </w:p>
        </w:tc>
        <w:tc>
          <w:tcPr>
            <w:tcW w:w="2353" w:type="dxa"/>
            <w:tcBorders>
              <w:top w:val="single" w:sz="4" w:space="0" w:color="auto"/>
              <w:left w:val="single" w:sz="4" w:space="0" w:color="auto"/>
              <w:bottom w:val="single" w:sz="4" w:space="0" w:color="auto"/>
              <w:right w:val="nil"/>
            </w:tcBorders>
            <w:noWrap/>
            <w:vAlign w:val="center"/>
          </w:tcPr>
          <w:p w14:paraId="5170F17B" w14:textId="7EF9F5FC" w:rsidR="00A741F1" w:rsidRPr="00232EBB" w:rsidRDefault="00144238" w:rsidP="002D2273">
            <w:pPr>
              <w:spacing w:after="0" w:line="240" w:lineRule="auto"/>
              <w:jc w:val="center"/>
              <w:rPr>
                <w:rFonts w:eastAsia="Calibri"/>
                <w:noProof/>
                <w:sz w:val="22"/>
                <w:szCs w:val="22"/>
                <w:lang w:val="es-ES"/>
              </w:rPr>
            </w:pPr>
            <w:r w:rsidRPr="00232EBB">
              <w:rPr>
                <w:rFonts w:eastAsia="Calibri"/>
                <w:noProof/>
                <w:sz w:val="22"/>
                <w:szCs w:val="22"/>
                <w:lang w:val="es-ES"/>
              </w:rPr>
              <w:t>781,644,829.80</w:t>
            </w:r>
          </w:p>
        </w:tc>
        <w:tc>
          <w:tcPr>
            <w:tcW w:w="2407" w:type="dxa"/>
            <w:tcBorders>
              <w:top w:val="single" w:sz="4" w:space="0" w:color="auto"/>
              <w:left w:val="single" w:sz="4" w:space="0" w:color="auto"/>
              <w:bottom w:val="single" w:sz="4" w:space="0" w:color="auto"/>
              <w:right w:val="single" w:sz="8" w:space="0" w:color="auto"/>
            </w:tcBorders>
            <w:noWrap/>
            <w:vAlign w:val="center"/>
          </w:tcPr>
          <w:p w14:paraId="74ECCE1A" w14:textId="1D459C93" w:rsidR="00A741F1" w:rsidRPr="00232EBB" w:rsidRDefault="00144238" w:rsidP="002D2273">
            <w:pPr>
              <w:spacing w:after="0" w:line="240" w:lineRule="auto"/>
              <w:jc w:val="center"/>
              <w:rPr>
                <w:rFonts w:eastAsia="Calibri"/>
                <w:noProof/>
                <w:sz w:val="22"/>
                <w:szCs w:val="22"/>
                <w:lang w:val="es-ES"/>
              </w:rPr>
            </w:pPr>
            <w:r w:rsidRPr="00232EBB">
              <w:rPr>
                <w:rFonts w:eastAsia="Calibri"/>
                <w:noProof/>
                <w:sz w:val="22"/>
                <w:szCs w:val="22"/>
                <w:lang w:val="es-ES"/>
              </w:rPr>
              <w:t>3,954,788,211.80</w:t>
            </w:r>
          </w:p>
        </w:tc>
      </w:tr>
      <w:tr w:rsidR="00A741F1" w:rsidRPr="00232EBB" w14:paraId="34407A87" w14:textId="77777777" w:rsidTr="00BA2589">
        <w:trPr>
          <w:trHeight w:val="306"/>
        </w:trPr>
        <w:tc>
          <w:tcPr>
            <w:tcW w:w="3140" w:type="dxa"/>
            <w:tcBorders>
              <w:top w:val="nil"/>
              <w:left w:val="single" w:sz="8" w:space="0" w:color="auto"/>
              <w:bottom w:val="single" w:sz="4" w:space="0" w:color="auto"/>
              <w:right w:val="nil"/>
            </w:tcBorders>
            <w:noWrap/>
            <w:vAlign w:val="bottom"/>
            <w:hideMark/>
          </w:tcPr>
          <w:p w14:paraId="452B2DFC" w14:textId="77777777" w:rsidR="00A741F1" w:rsidRPr="00232EBB" w:rsidRDefault="00A741F1" w:rsidP="00A741F1">
            <w:pPr>
              <w:spacing w:after="0" w:line="240" w:lineRule="auto"/>
              <w:rPr>
                <w:rFonts w:eastAsia="Calibri"/>
                <w:noProof/>
                <w:sz w:val="22"/>
                <w:szCs w:val="22"/>
                <w:lang w:val="es-ES"/>
              </w:rPr>
            </w:pPr>
            <w:r w:rsidRPr="00232EBB">
              <w:rPr>
                <w:rFonts w:eastAsia="Calibri"/>
                <w:noProof/>
                <w:sz w:val="22"/>
                <w:szCs w:val="22"/>
                <w:lang w:val="es-ES"/>
              </w:rPr>
              <w:t>PAGOS EXTRAORDINARIOS AL (SENASA)</w:t>
            </w:r>
          </w:p>
        </w:tc>
        <w:tc>
          <w:tcPr>
            <w:tcW w:w="2353" w:type="dxa"/>
            <w:tcBorders>
              <w:top w:val="nil"/>
              <w:left w:val="single" w:sz="4" w:space="0" w:color="auto"/>
              <w:bottom w:val="single" w:sz="4" w:space="0" w:color="auto"/>
              <w:right w:val="nil"/>
            </w:tcBorders>
            <w:noWrap/>
            <w:vAlign w:val="center"/>
          </w:tcPr>
          <w:p w14:paraId="248FF304" w14:textId="0F864380" w:rsidR="00A741F1" w:rsidRPr="00232EBB" w:rsidRDefault="00A741F1" w:rsidP="002D2273">
            <w:pPr>
              <w:spacing w:after="0" w:line="240" w:lineRule="auto"/>
              <w:jc w:val="center"/>
              <w:rPr>
                <w:rFonts w:eastAsia="Calibri"/>
                <w:noProof/>
                <w:sz w:val="22"/>
                <w:szCs w:val="22"/>
                <w:lang w:val="es-ES"/>
              </w:rPr>
            </w:pPr>
          </w:p>
        </w:tc>
        <w:tc>
          <w:tcPr>
            <w:tcW w:w="2407" w:type="dxa"/>
            <w:tcBorders>
              <w:top w:val="nil"/>
              <w:left w:val="single" w:sz="4" w:space="0" w:color="auto"/>
              <w:bottom w:val="single" w:sz="4" w:space="0" w:color="auto"/>
              <w:right w:val="single" w:sz="8" w:space="0" w:color="auto"/>
            </w:tcBorders>
            <w:noWrap/>
            <w:vAlign w:val="center"/>
          </w:tcPr>
          <w:p w14:paraId="416AAB75" w14:textId="47956DA8" w:rsidR="00A741F1" w:rsidRPr="00232EBB" w:rsidRDefault="00A46A25" w:rsidP="002D2273">
            <w:pPr>
              <w:spacing w:after="0" w:line="240" w:lineRule="auto"/>
              <w:jc w:val="center"/>
              <w:rPr>
                <w:rFonts w:eastAsia="Calibri"/>
                <w:noProof/>
                <w:sz w:val="22"/>
                <w:szCs w:val="22"/>
                <w:lang w:val="es-ES"/>
              </w:rPr>
            </w:pPr>
            <w:r w:rsidRPr="00232EBB">
              <w:rPr>
                <w:rFonts w:eastAsia="Calibri"/>
                <w:noProof/>
                <w:sz w:val="22"/>
                <w:szCs w:val="22"/>
                <w:lang w:val="es-ES"/>
              </w:rPr>
              <w:t>720,000,000.00</w:t>
            </w:r>
          </w:p>
        </w:tc>
      </w:tr>
      <w:tr w:rsidR="00A741F1" w:rsidRPr="00232EBB" w14:paraId="78DBC0F6" w14:textId="77777777" w:rsidTr="00BA2589">
        <w:trPr>
          <w:trHeight w:val="306"/>
        </w:trPr>
        <w:tc>
          <w:tcPr>
            <w:tcW w:w="3140" w:type="dxa"/>
            <w:tcBorders>
              <w:top w:val="nil"/>
              <w:left w:val="single" w:sz="8" w:space="0" w:color="auto"/>
              <w:bottom w:val="single" w:sz="4" w:space="0" w:color="auto"/>
              <w:right w:val="nil"/>
            </w:tcBorders>
            <w:noWrap/>
            <w:vAlign w:val="bottom"/>
            <w:hideMark/>
          </w:tcPr>
          <w:p w14:paraId="28A94A69" w14:textId="77777777" w:rsidR="00A741F1" w:rsidRPr="00232EBB" w:rsidRDefault="00A741F1" w:rsidP="00A741F1">
            <w:pPr>
              <w:spacing w:after="0" w:line="240" w:lineRule="auto"/>
              <w:rPr>
                <w:rFonts w:eastAsia="Calibri"/>
                <w:noProof/>
                <w:sz w:val="22"/>
                <w:szCs w:val="22"/>
                <w:lang w:val="es-ES"/>
              </w:rPr>
            </w:pPr>
            <w:r w:rsidRPr="00232EBB">
              <w:rPr>
                <w:rFonts w:eastAsia="Calibri"/>
                <w:noProof/>
                <w:sz w:val="22"/>
                <w:szCs w:val="22"/>
                <w:lang w:val="es-ES"/>
              </w:rPr>
              <w:t>SENASA (Atenciones Médicas Covid-19 .)</w:t>
            </w:r>
          </w:p>
        </w:tc>
        <w:tc>
          <w:tcPr>
            <w:tcW w:w="2353" w:type="dxa"/>
            <w:tcBorders>
              <w:top w:val="nil"/>
              <w:left w:val="single" w:sz="4" w:space="0" w:color="auto"/>
              <w:bottom w:val="single" w:sz="4" w:space="0" w:color="auto"/>
              <w:right w:val="nil"/>
            </w:tcBorders>
            <w:noWrap/>
            <w:vAlign w:val="center"/>
          </w:tcPr>
          <w:p w14:paraId="01986EEC" w14:textId="685F95D8" w:rsidR="00A741F1" w:rsidRPr="00232EBB" w:rsidRDefault="00342931" w:rsidP="002D2273">
            <w:pPr>
              <w:spacing w:after="0" w:line="240" w:lineRule="auto"/>
              <w:jc w:val="center"/>
              <w:rPr>
                <w:rFonts w:eastAsia="Calibri"/>
                <w:noProof/>
                <w:sz w:val="22"/>
                <w:szCs w:val="22"/>
                <w:lang w:val="es-ES"/>
              </w:rPr>
            </w:pPr>
            <w:r w:rsidRPr="00232EBB">
              <w:rPr>
                <w:rFonts w:eastAsia="Calibri"/>
                <w:noProof/>
                <w:sz w:val="22"/>
                <w:szCs w:val="22"/>
                <w:lang w:val="es-ES"/>
              </w:rPr>
              <w:t>-</w:t>
            </w:r>
          </w:p>
        </w:tc>
        <w:tc>
          <w:tcPr>
            <w:tcW w:w="2407" w:type="dxa"/>
            <w:tcBorders>
              <w:top w:val="nil"/>
              <w:left w:val="single" w:sz="4" w:space="0" w:color="auto"/>
              <w:bottom w:val="single" w:sz="4" w:space="0" w:color="auto"/>
              <w:right w:val="single" w:sz="8" w:space="0" w:color="auto"/>
            </w:tcBorders>
            <w:noWrap/>
            <w:vAlign w:val="center"/>
          </w:tcPr>
          <w:p w14:paraId="4FE3FFDE" w14:textId="7762357A" w:rsidR="00A741F1" w:rsidRPr="00232EBB" w:rsidRDefault="00A46A25" w:rsidP="002D2273">
            <w:pPr>
              <w:spacing w:after="0" w:line="240" w:lineRule="auto"/>
              <w:jc w:val="center"/>
              <w:rPr>
                <w:rFonts w:eastAsia="Calibri"/>
                <w:noProof/>
                <w:sz w:val="22"/>
                <w:szCs w:val="22"/>
                <w:lang w:val="es-ES"/>
              </w:rPr>
            </w:pPr>
            <w:r w:rsidRPr="00232EBB">
              <w:rPr>
                <w:rFonts w:eastAsia="Calibri"/>
                <w:noProof/>
                <w:sz w:val="22"/>
                <w:szCs w:val="22"/>
                <w:lang w:val="es-ES"/>
              </w:rPr>
              <w:t>1,498,481,601.68</w:t>
            </w:r>
          </w:p>
        </w:tc>
      </w:tr>
      <w:tr w:rsidR="00A46A25" w:rsidRPr="00232EBB" w14:paraId="7472A0ED" w14:textId="77777777" w:rsidTr="00BA2589">
        <w:trPr>
          <w:trHeight w:val="306"/>
        </w:trPr>
        <w:tc>
          <w:tcPr>
            <w:tcW w:w="3140" w:type="dxa"/>
            <w:tcBorders>
              <w:top w:val="single" w:sz="4" w:space="0" w:color="auto"/>
              <w:left w:val="single" w:sz="8" w:space="0" w:color="auto"/>
              <w:right w:val="nil"/>
            </w:tcBorders>
            <w:noWrap/>
            <w:vAlign w:val="bottom"/>
          </w:tcPr>
          <w:p w14:paraId="47689526" w14:textId="315A501F" w:rsidR="00A46A25" w:rsidRPr="00232EBB" w:rsidRDefault="00A46A25" w:rsidP="00A741F1">
            <w:pPr>
              <w:spacing w:after="0" w:line="240" w:lineRule="auto"/>
              <w:jc w:val="both"/>
              <w:rPr>
                <w:rFonts w:eastAsia="Calibri"/>
                <w:noProof/>
                <w:sz w:val="22"/>
                <w:szCs w:val="22"/>
                <w:lang w:val="es-ES"/>
              </w:rPr>
            </w:pPr>
            <w:r w:rsidRPr="00232EBB">
              <w:rPr>
                <w:rFonts w:eastAsia="Calibri"/>
                <w:noProof/>
                <w:sz w:val="22"/>
                <w:szCs w:val="22"/>
                <w:lang w:val="es-ES"/>
              </w:rPr>
              <w:t>Transferencias Realizada a cuenta colectora para ser Devuelto a Tesoreria Nacional (Aporte recibido por el Ministerio de Salud Pública a Tesoreria Nacional)</w:t>
            </w:r>
          </w:p>
        </w:tc>
        <w:tc>
          <w:tcPr>
            <w:tcW w:w="2353" w:type="dxa"/>
            <w:tcBorders>
              <w:top w:val="single" w:sz="4" w:space="0" w:color="auto"/>
              <w:left w:val="single" w:sz="4" w:space="0" w:color="auto"/>
              <w:bottom w:val="single" w:sz="4" w:space="0" w:color="auto"/>
              <w:right w:val="nil"/>
            </w:tcBorders>
            <w:noWrap/>
            <w:vAlign w:val="center"/>
          </w:tcPr>
          <w:p w14:paraId="122EB3D7" w14:textId="1B342A62" w:rsidR="00A46A25" w:rsidRPr="00232EBB" w:rsidRDefault="00342931" w:rsidP="002D2273">
            <w:pPr>
              <w:spacing w:after="0" w:line="240" w:lineRule="auto"/>
              <w:jc w:val="center"/>
              <w:rPr>
                <w:rFonts w:eastAsia="Calibri"/>
                <w:noProof/>
                <w:sz w:val="22"/>
                <w:szCs w:val="22"/>
                <w:lang w:val="es-ES"/>
              </w:rPr>
            </w:pPr>
            <w:r w:rsidRPr="00232EBB">
              <w:rPr>
                <w:rFonts w:eastAsia="Calibri"/>
                <w:noProof/>
                <w:sz w:val="22"/>
                <w:szCs w:val="22"/>
                <w:lang w:val="es-ES"/>
              </w:rPr>
              <w:t>833,333,333.33</w:t>
            </w:r>
          </w:p>
        </w:tc>
        <w:tc>
          <w:tcPr>
            <w:tcW w:w="2407" w:type="dxa"/>
            <w:tcBorders>
              <w:top w:val="single" w:sz="4" w:space="0" w:color="auto"/>
              <w:left w:val="single" w:sz="4" w:space="0" w:color="auto"/>
              <w:bottom w:val="single" w:sz="4" w:space="0" w:color="auto"/>
              <w:right w:val="single" w:sz="4" w:space="0" w:color="auto"/>
            </w:tcBorders>
            <w:noWrap/>
            <w:vAlign w:val="center"/>
          </w:tcPr>
          <w:p w14:paraId="24B5FB33" w14:textId="3DFD363E" w:rsidR="00A46A25" w:rsidRPr="00232EBB" w:rsidRDefault="00342931" w:rsidP="002D2273">
            <w:pPr>
              <w:spacing w:after="0" w:line="240" w:lineRule="auto"/>
              <w:jc w:val="center"/>
              <w:rPr>
                <w:rFonts w:eastAsia="Calibri"/>
                <w:noProof/>
                <w:sz w:val="22"/>
                <w:szCs w:val="22"/>
                <w:lang w:val="es-ES"/>
              </w:rPr>
            </w:pPr>
            <w:r w:rsidRPr="00232EBB">
              <w:rPr>
                <w:rFonts w:eastAsia="Calibri"/>
                <w:noProof/>
                <w:sz w:val="22"/>
                <w:szCs w:val="22"/>
                <w:lang w:val="es-ES"/>
              </w:rPr>
              <w:t>833,333,333.33</w:t>
            </w:r>
          </w:p>
        </w:tc>
      </w:tr>
      <w:tr w:rsidR="00A46A25" w:rsidRPr="00232EBB" w14:paraId="44933112" w14:textId="77777777" w:rsidTr="00BA2589">
        <w:trPr>
          <w:trHeight w:val="306"/>
        </w:trPr>
        <w:tc>
          <w:tcPr>
            <w:tcW w:w="3140" w:type="dxa"/>
            <w:tcBorders>
              <w:left w:val="single" w:sz="4" w:space="0" w:color="auto"/>
              <w:bottom w:val="single" w:sz="4" w:space="0" w:color="auto"/>
              <w:right w:val="nil"/>
            </w:tcBorders>
            <w:noWrap/>
            <w:vAlign w:val="bottom"/>
          </w:tcPr>
          <w:p w14:paraId="112FBA60" w14:textId="54E2751F" w:rsidR="00A46A25" w:rsidRPr="00232EBB" w:rsidRDefault="00A46A25" w:rsidP="00A741F1">
            <w:pPr>
              <w:spacing w:after="0" w:line="240" w:lineRule="auto"/>
              <w:jc w:val="both"/>
              <w:rPr>
                <w:rFonts w:eastAsia="Calibri"/>
                <w:noProof/>
                <w:sz w:val="22"/>
                <w:szCs w:val="22"/>
                <w:lang w:val="es-ES"/>
              </w:rPr>
            </w:pPr>
            <w:r w:rsidRPr="00232EBB">
              <w:rPr>
                <w:rFonts w:eastAsia="Calibri"/>
                <w:noProof/>
                <w:sz w:val="22"/>
                <w:szCs w:val="22"/>
                <w:lang w:val="es-ES"/>
              </w:rPr>
              <w:t>Transferencias Realizada a cuenta Colectora para ser Devuelto a Tesoreria Nacional</w:t>
            </w:r>
          </w:p>
        </w:tc>
        <w:tc>
          <w:tcPr>
            <w:tcW w:w="2353" w:type="dxa"/>
            <w:tcBorders>
              <w:top w:val="single" w:sz="4" w:space="0" w:color="auto"/>
              <w:left w:val="single" w:sz="4" w:space="0" w:color="auto"/>
              <w:bottom w:val="single" w:sz="4" w:space="0" w:color="auto"/>
              <w:right w:val="nil"/>
            </w:tcBorders>
            <w:noWrap/>
            <w:vAlign w:val="center"/>
          </w:tcPr>
          <w:p w14:paraId="6F0DB250" w14:textId="220BDBB8" w:rsidR="00A46A25" w:rsidRPr="00232EBB" w:rsidRDefault="00342931" w:rsidP="002D2273">
            <w:pPr>
              <w:spacing w:after="0" w:line="240" w:lineRule="auto"/>
              <w:jc w:val="center"/>
              <w:rPr>
                <w:rFonts w:eastAsia="Calibri"/>
                <w:noProof/>
                <w:sz w:val="22"/>
                <w:szCs w:val="22"/>
                <w:lang w:val="es-ES"/>
              </w:rPr>
            </w:pPr>
            <w:r w:rsidRPr="00232EBB">
              <w:rPr>
                <w:rFonts w:eastAsia="Calibri"/>
                <w:noProof/>
                <w:sz w:val="22"/>
                <w:szCs w:val="22"/>
                <w:lang w:val="es-ES"/>
              </w:rPr>
              <w:t>464,651,675.10</w:t>
            </w:r>
          </w:p>
        </w:tc>
        <w:tc>
          <w:tcPr>
            <w:tcW w:w="2407" w:type="dxa"/>
            <w:tcBorders>
              <w:top w:val="single" w:sz="4" w:space="0" w:color="auto"/>
              <w:left w:val="single" w:sz="4" w:space="0" w:color="auto"/>
              <w:bottom w:val="single" w:sz="4" w:space="0" w:color="auto"/>
              <w:right w:val="single" w:sz="4" w:space="0" w:color="auto"/>
            </w:tcBorders>
            <w:noWrap/>
            <w:vAlign w:val="center"/>
          </w:tcPr>
          <w:p w14:paraId="7B7EA52A" w14:textId="5FA5CFF1" w:rsidR="00A46A25" w:rsidRPr="00232EBB" w:rsidRDefault="00342931" w:rsidP="002D2273">
            <w:pPr>
              <w:spacing w:after="0" w:line="240" w:lineRule="auto"/>
              <w:jc w:val="center"/>
              <w:rPr>
                <w:rFonts w:eastAsia="Calibri"/>
                <w:noProof/>
                <w:sz w:val="22"/>
                <w:szCs w:val="22"/>
                <w:lang w:val="es-ES"/>
              </w:rPr>
            </w:pPr>
            <w:r w:rsidRPr="00232EBB">
              <w:rPr>
                <w:rFonts w:eastAsia="Calibri"/>
                <w:noProof/>
                <w:sz w:val="22"/>
                <w:szCs w:val="22"/>
                <w:lang w:val="es-ES"/>
              </w:rPr>
              <w:t>464,651,675.10</w:t>
            </w:r>
          </w:p>
        </w:tc>
      </w:tr>
      <w:tr w:rsidR="00A741F1" w:rsidRPr="00232EBB" w14:paraId="26EC9C31" w14:textId="77777777" w:rsidTr="00BA2589">
        <w:trPr>
          <w:trHeight w:val="306"/>
        </w:trPr>
        <w:tc>
          <w:tcPr>
            <w:tcW w:w="3140" w:type="dxa"/>
            <w:tcBorders>
              <w:top w:val="nil"/>
              <w:left w:val="single" w:sz="8" w:space="0" w:color="auto"/>
              <w:bottom w:val="single" w:sz="4" w:space="0" w:color="auto"/>
              <w:right w:val="nil"/>
            </w:tcBorders>
            <w:noWrap/>
            <w:vAlign w:val="bottom"/>
            <w:hideMark/>
          </w:tcPr>
          <w:p w14:paraId="21869674" w14:textId="77777777" w:rsidR="00A741F1" w:rsidRPr="00232EBB" w:rsidRDefault="00A741F1" w:rsidP="00A741F1">
            <w:pPr>
              <w:spacing w:after="0" w:line="240" w:lineRule="auto"/>
              <w:jc w:val="both"/>
              <w:rPr>
                <w:rFonts w:eastAsia="Calibri"/>
                <w:noProof/>
                <w:sz w:val="22"/>
                <w:szCs w:val="22"/>
                <w:lang w:val="es-ES"/>
              </w:rPr>
            </w:pPr>
            <w:r w:rsidRPr="00232EBB">
              <w:rPr>
                <w:rFonts w:eastAsia="Calibri"/>
                <w:noProof/>
                <w:sz w:val="22"/>
                <w:szCs w:val="22"/>
                <w:lang w:val="es-ES"/>
              </w:rPr>
              <w:t>Transferencia al SENASA "Proyecto SENASA Cuida de ti"</w:t>
            </w:r>
          </w:p>
        </w:tc>
        <w:tc>
          <w:tcPr>
            <w:tcW w:w="2353" w:type="dxa"/>
            <w:tcBorders>
              <w:top w:val="nil"/>
              <w:left w:val="single" w:sz="4" w:space="0" w:color="auto"/>
              <w:bottom w:val="single" w:sz="4" w:space="0" w:color="auto"/>
              <w:right w:val="nil"/>
            </w:tcBorders>
            <w:noWrap/>
            <w:vAlign w:val="center"/>
          </w:tcPr>
          <w:p w14:paraId="4346A7FF" w14:textId="53BFB8E1" w:rsidR="00A741F1" w:rsidRPr="00232EBB" w:rsidRDefault="00AB4C48" w:rsidP="002D2273">
            <w:pPr>
              <w:spacing w:after="0" w:line="240" w:lineRule="auto"/>
              <w:jc w:val="center"/>
              <w:rPr>
                <w:rFonts w:eastAsia="Calibri"/>
                <w:noProof/>
                <w:sz w:val="22"/>
                <w:szCs w:val="22"/>
                <w:lang w:val="es-ES"/>
              </w:rPr>
            </w:pPr>
            <w:r w:rsidRPr="00232EBB">
              <w:rPr>
                <w:rFonts w:eastAsia="Calibri"/>
                <w:noProof/>
                <w:sz w:val="22"/>
                <w:szCs w:val="22"/>
                <w:lang w:val="es-ES"/>
              </w:rPr>
              <w:t>200,000,000.04</w:t>
            </w:r>
          </w:p>
        </w:tc>
        <w:tc>
          <w:tcPr>
            <w:tcW w:w="2407" w:type="dxa"/>
            <w:tcBorders>
              <w:top w:val="nil"/>
              <w:left w:val="single" w:sz="4" w:space="0" w:color="auto"/>
              <w:bottom w:val="single" w:sz="4" w:space="0" w:color="auto"/>
              <w:right w:val="single" w:sz="8" w:space="0" w:color="auto"/>
            </w:tcBorders>
            <w:noWrap/>
            <w:vAlign w:val="center"/>
          </w:tcPr>
          <w:p w14:paraId="08A7C2E6" w14:textId="60928E3C" w:rsidR="00A741F1" w:rsidRPr="00232EBB" w:rsidRDefault="00AB4C48" w:rsidP="002D2273">
            <w:pPr>
              <w:spacing w:after="0" w:line="240" w:lineRule="auto"/>
              <w:jc w:val="center"/>
              <w:rPr>
                <w:rFonts w:eastAsia="Calibri"/>
                <w:noProof/>
                <w:sz w:val="22"/>
                <w:szCs w:val="22"/>
                <w:lang w:val="es-ES"/>
              </w:rPr>
            </w:pPr>
            <w:r w:rsidRPr="00232EBB">
              <w:rPr>
                <w:rFonts w:eastAsia="Calibri"/>
                <w:noProof/>
                <w:sz w:val="22"/>
                <w:szCs w:val="22"/>
                <w:lang w:val="es-ES"/>
              </w:rPr>
              <w:t>1,383,333,333.60</w:t>
            </w:r>
          </w:p>
        </w:tc>
      </w:tr>
      <w:tr w:rsidR="00A741F1" w:rsidRPr="00232EBB" w14:paraId="74C9FCAF" w14:textId="77777777" w:rsidTr="00BA2589">
        <w:trPr>
          <w:trHeight w:val="321"/>
        </w:trPr>
        <w:tc>
          <w:tcPr>
            <w:tcW w:w="3140" w:type="dxa"/>
            <w:tcBorders>
              <w:top w:val="nil"/>
              <w:left w:val="single" w:sz="8" w:space="0" w:color="auto"/>
              <w:bottom w:val="single" w:sz="4" w:space="0" w:color="auto"/>
              <w:right w:val="nil"/>
            </w:tcBorders>
            <w:noWrap/>
            <w:vAlign w:val="bottom"/>
            <w:hideMark/>
          </w:tcPr>
          <w:p w14:paraId="5E30C4D6" w14:textId="77777777" w:rsidR="00A741F1" w:rsidRPr="00232EBB" w:rsidRDefault="00A741F1" w:rsidP="00A741F1">
            <w:pPr>
              <w:spacing w:after="0" w:line="240" w:lineRule="auto"/>
              <w:rPr>
                <w:rFonts w:eastAsia="Calibri"/>
                <w:noProof/>
                <w:sz w:val="20"/>
                <w:szCs w:val="20"/>
                <w:lang w:val="es-ES"/>
              </w:rPr>
            </w:pPr>
            <w:r w:rsidRPr="00232EBB">
              <w:rPr>
                <w:rFonts w:eastAsia="Calibri"/>
                <w:noProof/>
                <w:sz w:val="20"/>
                <w:szCs w:val="20"/>
                <w:lang w:val="es-ES"/>
              </w:rPr>
              <w:t>Cargos Bancarios</w:t>
            </w:r>
          </w:p>
        </w:tc>
        <w:tc>
          <w:tcPr>
            <w:tcW w:w="2353" w:type="dxa"/>
            <w:tcBorders>
              <w:top w:val="nil"/>
              <w:left w:val="single" w:sz="4" w:space="0" w:color="auto"/>
              <w:bottom w:val="single" w:sz="4" w:space="0" w:color="auto"/>
              <w:right w:val="nil"/>
            </w:tcBorders>
            <w:noWrap/>
            <w:vAlign w:val="center"/>
            <w:hideMark/>
          </w:tcPr>
          <w:p w14:paraId="0FFC390F" w14:textId="74DC351F" w:rsidR="00A741F1" w:rsidRPr="00232EBB" w:rsidRDefault="00A741F1" w:rsidP="002D2273">
            <w:pPr>
              <w:spacing w:after="0" w:line="240" w:lineRule="auto"/>
              <w:jc w:val="center"/>
              <w:rPr>
                <w:rFonts w:eastAsia="Calibri"/>
                <w:noProof/>
                <w:lang w:val="es-ES"/>
              </w:rPr>
            </w:pPr>
          </w:p>
        </w:tc>
        <w:tc>
          <w:tcPr>
            <w:tcW w:w="2407" w:type="dxa"/>
            <w:tcBorders>
              <w:top w:val="nil"/>
              <w:left w:val="single" w:sz="4" w:space="0" w:color="auto"/>
              <w:bottom w:val="single" w:sz="4" w:space="0" w:color="auto"/>
              <w:right w:val="single" w:sz="8" w:space="0" w:color="auto"/>
            </w:tcBorders>
            <w:noWrap/>
            <w:vAlign w:val="center"/>
            <w:hideMark/>
          </w:tcPr>
          <w:p w14:paraId="5A25BCD4" w14:textId="6B15571E" w:rsidR="00A741F1" w:rsidRPr="00232EBB" w:rsidRDefault="00A741F1" w:rsidP="002D2273">
            <w:pPr>
              <w:spacing w:after="0" w:line="240" w:lineRule="auto"/>
              <w:jc w:val="center"/>
              <w:rPr>
                <w:rFonts w:eastAsia="Calibri"/>
                <w:noProof/>
                <w:lang w:val="es-ES"/>
              </w:rPr>
            </w:pPr>
            <w:r w:rsidRPr="00232EBB">
              <w:rPr>
                <w:rFonts w:eastAsia="Calibri"/>
                <w:noProof/>
                <w:lang w:val="es-ES"/>
              </w:rPr>
              <w:t>2,600.00</w:t>
            </w:r>
          </w:p>
        </w:tc>
      </w:tr>
      <w:tr w:rsidR="00A741F1" w:rsidRPr="00232EBB" w14:paraId="31136250" w14:textId="77777777" w:rsidTr="00BA2589">
        <w:trPr>
          <w:trHeight w:val="306"/>
        </w:trPr>
        <w:tc>
          <w:tcPr>
            <w:tcW w:w="3140" w:type="dxa"/>
            <w:tcBorders>
              <w:top w:val="single" w:sz="8" w:space="0" w:color="auto"/>
              <w:left w:val="single" w:sz="8" w:space="0" w:color="auto"/>
              <w:bottom w:val="single" w:sz="4" w:space="0" w:color="auto"/>
              <w:right w:val="nil"/>
            </w:tcBorders>
            <w:shd w:val="clear" w:color="000000" w:fill="002060"/>
            <w:noWrap/>
            <w:vAlign w:val="bottom"/>
            <w:hideMark/>
          </w:tcPr>
          <w:p w14:paraId="03EFC674" w14:textId="77777777" w:rsidR="00A741F1" w:rsidRPr="00232EBB" w:rsidRDefault="00A741F1" w:rsidP="00A741F1">
            <w:pPr>
              <w:spacing w:after="0" w:line="240" w:lineRule="auto"/>
              <w:rPr>
                <w:rFonts w:eastAsia="Times New Roman"/>
                <w:b/>
                <w:bCs/>
                <w:color w:val="FFFFFF"/>
                <w:spacing w:val="0"/>
                <w:sz w:val="16"/>
                <w:szCs w:val="16"/>
              </w:rPr>
            </w:pPr>
            <w:r w:rsidRPr="00232EBB">
              <w:rPr>
                <w:rFonts w:eastAsia="Times New Roman"/>
                <w:b/>
                <w:bCs/>
                <w:color w:val="FFFFFF"/>
                <w:spacing w:val="0"/>
                <w:sz w:val="16"/>
                <w:szCs w:val="16"/>
              </w:rPr>
              <w:t>TOTAL PAGADO</w:t>
            </w:r>
          </w:p>
        </w:tc>
        <w:tc>
          <w:tcPr>
            <w:tcW w:w="2353" w:type="dxa"/>
            <w:tcBorders>
              <w:top w:val="nil"/>
              <w:left w:val="nil"/>
              <w:bottom w:val="single" w:sz="4" w:space="0" w:color="auto"/>
              <w:right w:val="single" w:sz="4" w:space="0" w:color="auto"/>
            </w:tcBorders>
            <w:shd w:val="clear" w:color="000000" w:fill="002060"/>
            <w:noWrap/>
            <w:vAlign w:val="center"/>
            <w:hideMark/>
          </w:tcPr>
          <w:p w14:paraId="209D13CE" w14:textId="0E01AE8E" w:rsidR="00A741F1" w:rsidRPr="00232EBB" w:rsidRDefault="00AB4C48" w:rsidP="002D2273">
            <w:pPr>
              <w:spacing w:after="0" w:line="240" w:lineRule="auto"/>
              <w:jc w:val="center"/>
              <w:rPr>
                <w:rFonts w:eastAsia="Times New Roman"/>
                <w:b/>
                <w:bCs/>
                <w:color w:val="FFFFFF"/>
                <w:spacing w:val="0"/>
                <w:sz w:val="20"/>
                <w:szCs w:val="20"/>
              </w:rPr>
            </w:pPr>
            <w:r w:rsidRPr="00232EBB">
              <w:rPr>
                <w:rFonts w:eastAsia="Times New Roman"/>
                <w:b/>
                <w:bCs/>
                <w:color w:val="FFFFFF"/>
                <w:spacing w:val="0"/>
                <w:sz w:val="20"/>
                <w:szCs w:val="20"/>
              </w:rPr>
              <w:t>24,265,978,485.83</w:t>
            </w:r>
          </w:p>
        </w:tc>
        <w:tc>
          <w:tcPr>
            <w:tcW w:w="2407" w:type="dxa"/>
            <w:tcBorders>
              <w:top w:val="nil"/>
              <w:left w:val="nil"/>
              <w:bottom w:val="single" w:sz="4" w:space="0" w:color="auto"/>
              <w:right w:val="single" w:sz="8" w:space="0" w:color="auto"/>
            </w:tcBorders>
            <w:shd w:val="clear" w:color="000000" w:fill="002060"/>
            <w:noWrap/>
            <w:vAlign w:val="center"/>
            <w:hideMark/>
          </w:tcPr>
          <w:p w14:paraId="450D7A23" w14:textId="71A2DEFF" w:rsidR="00A741F1" w:rsidRPr="00232EBB" w:rsidRDefault="00AB4C48" w:rsidP="002D2273">
            <w:pPr>
              <w:spacing w:after="0" w:line="240" w:lineRule="auto"/>
              <w:jc w:val="center"/>
              <w:rPr>
                <w:rFonts w:eastAsia="Times New Roman"/>
                <w:b/>
                <w:bCs/>
                <w:color w:val="FFFFFF"/>
                <w:spacing w:val="0"/>
                <w:sz w:val="20"/>
                <w:szCs w:val="20"/>
              </w:rPr>
            </w:pPr>
            <w:r w:rsidRPr="00232EBB">
              <w:rPr>
                <w:rFonts w:eastAsia="Times New Roman"/>
                <w:b/>
                <w:bCs/>
                <w:color w:val="FFFFFF"/>
                <w:spacing w:val="0"/>
                <w:sz w:val="20"/>
                <w:szCs w:val="20"/>
              </w:rPr>
              <w:t>188,417,129,231.77</w:t>
            </w:r>
          </w:p>
        </w:tc>
      </w:tr>
      <w:tr w:rsidR="00A741F1" w:rsidRPr="00232EBB" w14:paraId="10B0E40B" w14:textId="77777777" w:rsidTr="00BA2589">
        <w:trPr>
          <w:trHeight w:val="367"/>
        </w:trPr>
        <w:tc>
          <w:tcPr>
            <w:tcW w:w="3140" w:type="dxa"/>
            <w:tcBorders>
              <w:top w:val="nil"/>
              <w:left w:val="single" w:sz="8" w:space="0" w:color="auto"/>
              <w:bottom w:val="single" w:sz="8" w:space="0" w:color="auto"/>
              <w:right w:val="single" w:sz="4" w:space="0" w:color="auto"/>
            </w:tcBorders>
            <w:shd w:val="clear" w:color="000000" w:fill="002060"/>
            <w:vAlign w:val="bottom"/>
            <w:hideMark/>
          </w:tcPr>
          <w:p w14:paraId="4FAF697C" w14:textId="77777777" w:rsidR="00A741F1" w:rsidRPr="00232EBB" w:rsidRDefault="00A741F1" w:rsidP="00A741F1">
            <w:pPr>
              <w:spacing w:after="0" w:line="240" w:lineRule="auto"/>
              <w:rPr>
                <w:rFonts w:eastAsia="Times New Roman"/>
                <w:b/>
                <w:bCs/>
                <w:color w:val="FFFFFF"/>
                <w:spacing w:val="0"/>
                <w:sz w:val="16"/>
                <w:szCs w:val="16"/>
              </w:rPr>
            </w:pPr>
            <w:r w:rsidRPr="00232EBB">
              <w:rPr>
                <w:rFonts w:eastAsia="Times New Roman"/>
                <w:b/>
                <w:bCs/>
                <w:color w:val="FFFFFF"/>
                <w:spacing w:val="0"/>
                <w:sz w:val="16"/>
                <w:szCs w:val="16"/>
              </w:rPr>
              <w:t>TOTAL APORTES DISPONIBLES</w:t>
            </w:r>
          </w:p>
        </w:tc>
        <w:tc>
          <w:tcPr>
            <w:tcW w:w="2353" w:type="dxa"/>
            <w:tcBorders>
              <w:top w:val="nil"/>
              <w:left w:val="nil"/>
              <w:bottom w:val="single" w:sz="8" w:space="0" w:color="auto"/>
              <w:right w:val="single" w:sz="8" w:space="0" w:color="auto"/>
            </w:tcBorders>
            <w:shd w:val="clear" w:color="000000" w:fill="002060"/>
            <w:noWrap/>
            <w:vAlign w:val="center"/>
            <w:hideMark/>
          </w:tcPr>
          <w:p w14:paraId="176E8C65" w14:textId="1BFD3EAB" w:rsidR="00A741F1" w:rsidRPr="00232EBB" w:rsidRDefault="00582DB8" w:rsidP="002D2273">
            <w:pPr>
              <w:spacing w:after="0" w:line="240" w:lineRule="auto"/>
              <w:jc w:val="center"/>
              <w:rPr>
                <w:rFonts w:eastAsia="Times New Roman"/>
                <w:b/>
                <w:bCs/>
                <w:color w:val="FFFFFF"/>
                <w:spacing w:val="0"/>
                <w:sz w:val="20"/>
                <w:szCs w:val="20"/>
              </w:rPr>
            </w:pPr>
            <w:r>
              <w:rPr>
                <w:rFonts w:eastAsia="Times New Roman"/>
                <w:b/>
                <w:bCs/>
                <w:color w:val="FFFFFF"/>
                <w:spacing w:val="0"/>
                <w:sz w:val="20"/>
                <w:szCs w:val="20"/>
              </w:rPr>
              <w:t>315,866,251.34</w:t>
            </w:r>
          </w:p>
        </w:tc>
        <w:tc>
          <w:tcPr>
            <w:tcW w:w="2407" w:type="dxa"/>
            <w:tcBorders>
              <w:top w:val="nil"/>
              <w:left w:val="nil"/>
              <w:bottom w:val="single" w:sz="8" w:space="0" w:color="auto"/>
              <w:right w:val="single" w:sz="8" w:space="0" w:color="auto"/>
            </w:tcBorders>
            <w:shd w:val="clear" w:color="000000" w:fill="002060"/>
            <w:noWrap/>
            <w:vAlign w:val="center"/>
            <w:hideMark/>
          </w:tcPr>
          <w:p w14:paraId="070CCA13" w14:textId="139DB78B" w:rsidR="00A741F1" w:rsidRPr="00232EBB" w:rsidRDefault="00582DB8" w:rsidP="002D2273">
            <w:pPr>
              <w:spacing w:after="0" w:line="240" w:lineRule="auto"/>
              <w:jc w:val="center"/>
              <w:rPr>
                <w:rFonts w:eastAsia="Times New Roman"/>
                <w:b/>
                <w:bCs/>
                <w:color w:val="FFFFFF"/>
                <w:spacing w:val="0"/>
                <w:sz w:val="20"/>
                <w:szCs w:val="20"/>
              </w:rPr>
            </w:pPr>
            <w:r>
              <w:rPr>
                <w:rFonts w:eastAsia="Times New Roman"/>
                <w:b/>
                <w:bCs/>
                <w:color w:val="FFFFFF"/>
                <w:spacing w:val="0"/>
                <w:sz w:val="20"/>
                <w:szCs w:val="20"/>
              </w:rPr>
              <w:t>315,866,251.34</w:t>
            </w:r>
          </w:p>
        </w:tc>
      </w:tr>
    </w:tbl>
    <w:p w14:paraId="2E2AA70D" w14:textId="46353A93" w:rsidR="006717EB" w:rsidRPr="00232EBB" w:rsidRDefault="00C50277" w:rsidP="006717EB">
      <w:pPr>
        <w:spacing w:line="360" w:lineRule="auto"/>
        <w:jc w:val="both"/>
        <w:rPr>
          <w:rFonts w:eastAsia="Calibri"/>
          <w:noProof/>
          <w:sz w:val="18"/>
          <w:szCs w:val="18"/>
          <w:lang w:val="es-ES"/>
        </w:rPr>
      </w:pPr>
      <w:r w:rsidRPr="00232EBB">
        <w:rPr>
          <w:rFonts w:eastAsia="Calibri"/>
          <w:b/>
          <w:bCs/>
          <w:noProof/>
          <w:sz w:val="18"/>
          <w:szCs w:val="18"/>
          <w:lang w:val="es-ES"/>
        </w:rPr>
        <w:t xml:space="preserve">Tabla </w:t>
      </w:r>
      <w:r w:rsidR="00E27BAB">
        <w:rPr>
          <w:rFonts w:eastAsia="Calibri"/>
          <w:b/>
          <w:bCs/>
          <w:noProof/>
          <w:sz w:val="18"/>
          <w:szCs w:val="18"/>
          <w:lang w:val="es-ES"/>
        </w:rPr>
        <w:t>10</w:t>
      </w:r>
      <w:r w:rsidRPr="00232EBB">
        <w:rPr>
          <w:rFonts w:eastAsia="Calibri"/>
          <w:b/>
          <w:bCs/>
          <w:noProof/>
          <w:sz w:val="18"/>
          <w:szCs w:val="18"/>
          <w:lang w:val="es-ES"/>
        </w:rPr>
        <w:t>:</w:t>
      </w:r>
      <w:r w:rsidRPr="00232EBB">
        <w:rPr>
          <w:rFonts w:eastAsia="Calibri"/>
          <w:noProof/>
          <w:sz w:val="18"/>
          <w:szCs w:val="18"/>
          <w:lang w:val="es-ES"/>
        </w:rPr>
        <w:t xml:space="preserve"> Aportes recibidos del Gobierno y pagados al Régimen Subsidiado 202</w:t>
      </w:r>
      <w:r w:rsidR="0027210F" w:rsidRPr="00232EBB">
        <w:rPr>
          <w:rFonts w:eastAsia="Calibri"/>
          <w:noProof/>
          <w:sz w:val="18"/>
          <w:szCs w:val="18"/>
          <w:lang w:val="es-ES"/>
        </w:rPr>
        <w:t>5</w:t>
      </w:r>
    </w:p>
    <w:p w14:paraId="41B9C246" w14:textId="08FAE002" w:rsidR="00295F77" w:rsidRPr="00232EBB" w:rsidRDefault="00295F77" w:rsidP="00836944">
      <w:pPr>
        <w:spacing w:line="360" w:lineRule="auto"/>
        <w:ind w:right="90"/>
        <w:jc w:val="both"/>
        <w:rPr>
          <w:rFonts w:eastAsia="Calibri"/>
          <w:noProof/>
          <w:lang w:val="es-ES"/>
        </w:rPr>
      </w:pPr>
      <w:r w:rsidRPr="00232EBB">
        <w:rPr>
          <w:rFonts w:eastAsia="Calibri"/>
          <w:noProof/>
          <w:lang w:val="es-ES"/>
        </w:rPr>
        <w:lastRenderedPageBreak/>
        <w:t>La Dirección de Fiscalización Externa de la Tesorería de la Seguridad Social tiene como objetivo general desarrollar inspecciones y/o fiscalizaciones a los entes supervisados según lo establecido en la normativa vigente, a fin de garantizar la detección oportuna de la mora, evasión y elusión, combinando otras fuentes de información gubernamental y privada.</w:t>
      </w:r>
    </w:p>
    <w:p w14:paraId="007110A6" w14:textId="77777777" w:rsidR="00D2665C" w:rsidRPr="00232EBB" w:rsidRDefault="00295F77" w:rsidP="00D2665C">
      <w:pPr>
        <w:spacing w:line="360" w:lineRule="auto"/>
        <w:jc w:val="both"/>
        <w:rPr>
          <w:lang w:val="es-ES"/>
        </w:rPr>
      </w:pPr>
      <w:r w:rsidRPr="00232EBB">
        <w:rPr>
          <w:lang w:val="es-ES"/>
        </w:rPr>
        <w:t>Como parte de las acciones realizadas para dar cumplimiento a las funciones de la Dirección, podemos citar:</w:t>
      </w:r>
    </w:p>
    <w:p w14:paraId="48845990" w14:textId="77777777" w:rsidR="00D2665C" w:rsidRPr="00232EBB" w:rsidRDefault="00295F77" w:rsidP="00836944">
      <w:pPr>
        <w:pStyle w:val="ListParagraph"/>
        <w:numPr>
          <w:ilvl w:val="0"/>
          <w:numId w:val="9"/>
        </w:numPr>
        <w:spacing w:before="240" w:after="240" w:line="360" w:lineRule="auto"/>
        <w:ind w:right="90"/>
        <w:rPr>
          <w:rFonts w:ascii="Times New Roman" w:hAnsi="Times New Roman"/>
          <w:color w:val="767171"/>
          <w:spacing w:val="20"/>
          <w:sz w:val="24"/>
          <w:szCs w:val="24"/>
        </w:rPr>
      </w:pPr>
      <w:r w:rsidRPr="00232EBB">
        <w:rPr>
          <w:rFonts w:ascii="Times New Roman" w:hAnsi="Times New Roman"/>
          <w:color w:val="767171"/>
          <w:spacing w:val="20"/>
          <w:sz w:val="24"/>
          <w:szCs w:val="24"/>
        </w:rPr>
        <w:t>Auditorías a los empleadores; que abarca el cumplimiento de sus deberes formales, fiscalización ante presunción de fraude, uso correcto de la dispensa otorgada, entre otras.</w:t>
      </w:r>
    </w:p>
    <w:p w14:paraId="76AF83B9" w14:textId="4D837DF7" w:rsidR="00295F77" w:rsidRPr="00232EBB" w:rsidRDefault="00295F77" w:rsidP="00836944">
      <w:pPr>
        <w:pStyle w:val="ListParagraph"/>
        <w:numPr>
          <w:ilvl w:val="0"/>
          <w:numId w:val="9"/>
        </w:numPr>
        <w:spacing w:before="240" w:after="240" w:line="360" w:lineRule="auto"/>
        <w:ind w:right="90"/>
        <w:rPr>
          <w:rFonts w:ascii="Times New Roman" w:hAnsi="Times New Roman"/>
          <w:color w:val="767171"/>
          <w:spacing w:val="20"/>
          <w:sz w:val="24"/>
          <w:szCs w:val="24"/>
        </w:rPr>
      </w:pPr>
      <w:r w:rsidRPr="00232EBB">
        <w:rPr>
          <w:rFonts w:ascii="Times New Roman" w:hAnsi="Times New Roman"/>
          <w:color w:val="767171"/>
          <w:spacing w:val="20"/>
          <w:sz w:val="24"/>
          <w:szCs w:val="24"/>
        </w:rPr>
        <w:t xml:space="preserve">Auditoría a las ARS sobre el reporte real de titulares y dependientes al Seguro Familiar de Salud, así como las novedades correspondientes de los núcleos familiares. </w:t>
      </w:r>
    </w:p>
    <w:p w14:paraId="465D3788" w14:textId="77777777" w:rsidR="00295F77" w:rsidRPr="00232EBB" w:rsidRDefault="00295F77" w:rsidP="000E2299">
      <w:pPr>
        <w:pStyle w:val="ListParagraph"/>
        <w:numPr>
          <w:ilvl w:val="0"/>
          <w:numId w:val="9"/>
        </w:numPr>
        <w:spacing w:before="240" w:after="24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t xml:space="preserve">Visitas de inspección a empleadores, a través del Cuerpo Especial de Inspección. </w:t>
      </w:r>
    </w:p>
    <w:p w14:paraId="012848D5" w14:textId="77777777" w:rsidR="00295F77" w:rsidRPr="00232EBB" w:rsidRDefault="00295F77" w:rsidP="000E2299">
      <w:pPr>
        <w:pStyle w:val="ListParagraph"/>
        <w:numPr>
          <w:ilvl w:val="0"/>
          <w:numId w:val="9"/>
        </w:numPr>
        <w:spacing w:before="240" w:after="24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t xml:space="preserve">Evaluación de solicitudes realizadas por los empleadores. </w:t>
      </w:r>
    </w:p>
    <w:p w14:paraId="652E10FC" w14:textId="37765A6C" w:rsidR="00D2665C" w:rsidRPr="00232EBB" w:rsidRDefault="00D2665C" w:rsidP="000E2299">
      <w:pPr>
        <w:pStyle w:val="ListParagraph"/>
        <w:numPr>
          <w:ilvl w:val="0"/>
          <w:numId w:val="9"/>
        </w:numPr>
        <w:spacing w:before="240" w:after="240" w:line="360" w:lineRule="auto"/>
        <w:rPr>
          <w:rFonts w:ascii="Times New Roman" w:hAnsi="Times New Roman"/>
          <w:color w:val="767171"/>
          <w:spacing w:val="20"/>
          <w:sz w:val="24"/>
          <w:szCs w:val="24"/>
        </w:rPr>
      </w:pPr>
      <w:r w:rsidRPr="00232EBB">
        <w:rPr>
          <w:rFonts w:ascii="Times New Roman" w:hAnsi="Times New Roman"/>
          <w:color w:val="767171"/>
          <w:spacing w:val="20"/>
          <w:sz w:val="24"/>
          <w:szCs w:val="24"/>
        </w:rPr>
        <w:t>Otras acciones de fiscalización.</w:t>
      </w:r>
    </w:p>
    <w:p w14:paraId="2232409E" w14:textId="37D16AD6" w:rsidR="00295F77" w:rsidRPr="00232EBB" w:rsidRDefault="00295F77" w:rsidP="00836944">
      <w:pPr>
        <w:spacing w:line="360" w:lineRule="auto"/>
        <w:ind w:right="90"/>
        <w:jc w:val="both"/>
        <w:rPr>
          <w:rFonts w:eastAsia="Calibri"/>
          <w:noProof/>
          <w:lang w:val="es-DO"/>
        </w:rPr>
      </w:pPr>
      <w:r w:rsidRPr="00232EBB">
        <w:rPr>
          <w:lang w:val="es-ES"/>
        </w:rPr>
        <w:t xml:space="preserve">Para el período enero </w:t>
      </w:r>
      <w:r w:rsidR="00AA31E0" w:rsidRPr="00232EBB">
        <w:rPr>
          <w:lang w:val="es-ES"/>
        </w:rPr>
        <w:t>–</w:t>
      </w:r>
      <w:r w:rsidRPr="00232EBB">
        <w:rPr>
          <w:lang w:val="es-ES"/>
        </w:rPr>
        <w:t xml:space="preserve"> </w:t>
      </w:r>
      <w:r w:rsidR="00AA31E0" w:rsidRPr="00232EBB">
        <w:rPr>
          <w:lang w:val="es-ES"/>
        </w:rPr>
        <w:t xml:space="preserve">diciembre </w:t>
      </w:r>
      <w:r w:rsidRPr="00232EBB">
        <w:rPr>
          <w:lang w:val="es-ES"/>
        </w:rPr>
        <w:t>de 202</w:t>
      </w:r>
      <w:r w:rsidR="00CF1211" w:rsidRPr="00232EBB">
        <w:rPr>
          <w:lang w:val="es-ES"/>
        </w:rPr>
        <w:t>5</w:t>
      </w:r>
      <w:r w:rsidRPr="00232EBB">
        <w:rPr>
          <w:lang w:val="es-ES"/>
        </w:rPr>
        <w:t xml:space="preserve">, se procesaron </w:t>
      </w:r>
      <w:r w:rsidR="002E7F05" w:rsidRPr="00232EBB">
        <w:rPr>
          <w:lang w:val="es-ES"/>
        </w:rPr>
        <w:t>7,468</w:t>
      </w:r>
      <w:r w:rsidRPr="00232EBB">
        <w:rPr>
          <w:lang w:val="es-ES"/>
        </w:rPr>
        <w:t xml:space="preserve"> casos de fiscalización en toda la geografía nacional y se suministró información acorde a los tipos de casos o solicitudes, como se detalla a continuación</w:t>
      </w:r>
      <w:r w:rsidRPr="00232EBB">
        <w:rPr>
          <w:rFonts w:eastAsia="Calibri"/>
          <w:noProof/>
          <w:lang w:val="es-DO"/>
        </w:rPr>
        <w:t>:</w:t>
      </w:r>
    </w:p>
    <w:tbl>
      <w:tblPr>
        <w:tblW w:w="6273" w:type="dxa"/>
        <w:jc w:val="center"/>
        <w:tblCellMar>
          <w:left w:w="70" w:type="dxa"/>
          <w:right w:w="70" w:type="dxa"/>
        </w:tblCellMar>
        <w:tblLook w:val="04A0" w:firstRow="1" w:lastRow="0" w:firstColumn="1" w:lastColumn="0" w:noHBand="0" w:noVBand="1"/>
      </w:tblPr>
      <w:tblGrid>
        <w:gridCol w:w="4121"/>
        <w:gridCol w:w="2152"/>
      </w:tblGrid>
      <w:tr w:rsidR="00FD4B8E" w:rsidRPr="00232EBB" w14:paraId="6C625A80" w14:textId="77777777" w:rsidTr="00822846">
        <w:trPr>
          <w:trHeight w:val="647"/>
          <w:jc w:val="center"/>
        </w:trPr>
        <w:tc>
          <w:tcPr>
            <w:tcW w:w="4121" w:type="dxa"/>
            <w:tcBorders>
              <w:top w:val="single" w:sz="4" w:space="0" w:color="auto"/>
              <w:left w:val="single" w:sz="4" w:space="0" w:color="auto"/>
              <w:bottom w:val="single" w:sz="4" w:space="0" w:color="auto"/>
              <w:right w:val="single" w:sz="4" w:space="0" w:color="auto"/>
            </w:tcBorders>
            <w:shd w:val="clear" w:color="auto" w:fill="1F3864" w:themeFill="accent1" w:themeFillShade="80"/>
            <w:vAlign w:val="center"/>
            <w:hideMark/>
          </w:tcPr>
          <w:p w14:paraId="1B08F1FA" w14:textId="77777777" w:rsidR="00FD4B8E" w:rsidRPr="00232EBB" w:rsidRDefault="00FD4B8E" w:rsidP="00B13188">
            <w:pPr>
              <w:spacing w:after="0" w:line="240" w:lineRule="auto"/>
              <w:jc w:val="center"/>
              <w:rPr>
                <w:rFonts w:eastAsia="Times New Roman"/>
                <w:b/>
                <w:bCs/>
                <w:color w:val="FFFFFF" w:themeColor="background1"/>
                <w:spacing w:val="0"/>
                <w:lang w:val="es-DO" w:eastAsia="es-DO"/>
              </w:rPr>
            </w:pPr>
            <w:r w:rsidRPr="00232EBB">
              <w:rPr>
                <w:rFonts w:eastAsia="Times New Roman"/>
                <w:b/>
                <w:bCs/>
                <w:color w:val="FFFFFF" w:themeColor="background1"/>
                <w:spacing w:val="0"/>
                <w:lang w:val="es-DO" w:eastAsia="es-DO"/>
              </w:rPr>
              <w:t>Proceso</w:t>
            </w:r>
          </w:p>
        </w:tc>
        <w:tc>
          <w:tcPr>
            <w:tcW w:w="2152" w:type="dxa"/>
            <w:tcBorders>
              <w:top w:val="single" w:sz="4" w:space="0" w:color="auto"/>
              <w:left w:val="nil"/>
              <w:bottom w:val="single" w:sz="4" w:space="0" w:color="auto"/>
              <w:right w:val="single" w:sz="4" w:space="0" w:color="auto"/>
            </w:tcBorders>
            <w:shd w:val="clear" w:color="auto" w:fill="1F3864" w:themeFill="accent1" w:themeFillShade="80"/>
            <w:vAlign w:val="center"/>
            <w:hideMark/>
          </w:tcPr>
          <w:p w14:paraId="12A20339" w14:textId="6AB89EFC" w:rsidR="00FD4B8E" w:rsidRPr="00232EBB" w:rsidRDefault="00FD4B8E" w:rsidP="00FD4B8E">
            <w:pPr>
              <w:spacing w:after="0" w:line="240" w:lineRule="auto"/>
              <w:jc w:val="center"/>
              <w:rPr>
                <w:rFonts w:eastAsia="Times New Roman"/>
                <w:b/>
                <w:bCs/>
                <w:color w:val="FFFFFF" w:themeColor="background1"/>
                <w:spacing w:val="0"/>
                <w:lang w:val="es-DO" w:eastAsia="es-DO"/>
              </w:rPr>
            </w:pPr>
            <w:r w:rsidRPr="00232EBB">
              <w:rPr>
                <w:rFonts w:eastAsia="Times New Roman"/>
                <w:b/>
                <w:bCs/>
                <w:color w:val="FFFFFF" w:themeColor="background1"/>
                <w:spacing w:val="0"/>
                <w:lang w:val="es-DO" w:eastAsia="es-DO"/>
              </w:rPr>
              <w:t>Auditorías Realizadas</w:t>
            </w:r>
          </w:p>
        </w:tc>
      </w:tr>
      <w:tr w:rsidR="00FD4B8E" w:rsidRPr="00232EBB" w14:paraId="1723E829" w14:textId="77777777" w:rsidTr="00822846">
        <w:trPr>
          <w:trHeight w:val="341"/>
          <w:jc w:val="center"/>
        </w:trPr>
        <w:tc>
          <w:tcPr>
            <w:tcW w:w="4121" w:type="dxa"/>
            <w:tcBorders>
              <w:top w:val="nil"/>
              <w:left w:val="single" w:sz="4" w:space="0" w:color="auto"/>
              <w:bottom w:val="single" w:sz="4" w:space="0" w:color="auto"/>
              <w:right w:val="single" w:sz="4" w:space="0" w:color="auto"/>
            </w:tcBorders>
            <w:noWrap/>
            <w:vAlign w:val="bottom"/>
            <w:hideMark/>
          </w:tcPr>
          <w:p w14:paraId="1436D491" w14:textId="77777777" w:rsidR="00FD4B8E" w:rsidRPr="00232EBB" w:rsidRDefault="00FD4B8E" w:rsidP="00B13188">
            <w:pPr>
              <w:spacing w:after="0" w:line="240" w:lineRule="auto"/>
              <w:rPr>
                <w:lang w:val="es-ES"/>
              </w:rPr>
            </w:pPr>
            <w:r w:rsidRPr="00232EBB">
              <w:rPr>
                <w:lang w:val="es-ES"/>
              </w:rPr>
              <w:t>Auditoría ARS</w:t>
            </w:r>
          </w:p>
        </w:tc>
        <w:tc>
          <w:tcPr>
            <w:tcW w:w="2152" w:type="dxa"/>
            <w:tcBorders>
              <w:top w:val="nil"/>
              <w:left w:val="nil"/>
              <w:bottom w:val="single" w:sz="4" w:space="0" w:color="auto"/>
              <w:right w:val="single" w:sz="4" w:space="0" w:color="auto"/>
            </w:tcBorders>
            <w:noWrap/>
            <w:vAlign w:val="bottom"/>
            <w:hideMark/>
          </w:tcPr>
          <w:p w14:paraId="1A8FBBCA" w14:textId="3B584196" w:rsidR="00FD4B8E" w:rsidRPr="00232EBB" w:rsidRDefault="00FD4B8E" w:rsidP="00B13188">
            <w:pPr>
              <w:spacing w:after="0" w:line="240" w:lineRule="auto"/>
              <w:jc w:val="center"/>
              <w:rPr>
                <w:lang w:val="es-ES"/>
              </w:rPr>
            </w:pPr>
            <w:r w:rsidRPr="00232EBB">
              <w:rPr>
                <w:lang w:val="es-ES"/>
              </w:rPr>
              <w:t>1</w:t>
            </w:r>
            <w:r w:rsidR="004F04FE">
              <w:rPr>
                <w:lang w:val="es-ES"/>
              </w:rPr>
              <w:t>7</w:t>
            </w:r>
          </w:p>
        </w:tc>
      </w:tr>
      <w:tr w:rsidR="00FD4B8E" w:rsidRPr="00232EBB" w14:paraId="1AF17AC9" w14:textId="77777777" w:rsidTr="00822846">
        <w:trPr>
          <w:trHeight w:val="359"/>
          <w:jc w:val="center"/>
        </w:trPr>
        <w:tc>
          <w:tcPr>
            <w:tcW w:w="4121" w:type="dxa"/>
            <w:tcBorders>
              <w:top w:val="nil"/>
              <w:left w:val="single" w:sz="4" w:space="0" w:color="auto"/>
              <w:bottom w:val="single" w:sz="4" w:space="0" w:color="auto"/>
              <w:right w:val="single" w:sz="4" w:space="0" w:color="auto"/>
            </w:tcBorders>
            <w:noWrap/>
            <w:vAlign w:val="bottom"/>
            <w:hideMark/>
          </w:tcPr>
          <w:p w14:paraId="578E3413" w14:textId="77777777" w:rsidR="00FD4B8E" w:rsidRPr="00232EBB" w:rsidRDefault="00FD4B8E" w:rsidP="00B13188">
            <w:pPr>
              <w:spacing w:after="0" w:line="240" w:lineRule="auto"/>
              <w:rPr>
                <w:lang w:val="es-ES"/>
              </w:rPr>
            </w:pPr>
            <w:r w:rsidRPr="00232EBB">
              <w:rPr>
                <w:lang w:val="es-ES"/>
              </w:rPr>
              <w:t>Auditoría Empleadores</w:t>
            </w:r>
          </w:p>
        </w:tc>
        <w:tc>
          <w:tcPr>
            <w:tcW w:w="2152" w:type="dxa"/>
            <w:tcBorders>
              <w:top w:val="nil"/>
              <w:left w:val="nil"/>
              <w:bottom w:val="single" w:sz="4" w:space="0" w:color="auto"/>
              <w:right w:val="single" w:sz="4" w:space="0" w:color="auto"/>
            </w:tcBorders>
            <w:noWrap/>
            <w:vAlign w:val="bottom"/>
            <w:hideMark/>
          </w:tcPr>
          <w:p w14:paraId="4E89E3B5" w14:textId="050AF1EB" w:rsidR="00FD4B8E" w:rsidRPr="00232EBB" w:rsidRDefault="00FD4B8E" w:rsidP="00B13188">
            <w:pPr>
              <w:spacing w:after="0" w:line="240" w:lineRule="auto"/>
              <w:jc w:val="center"/>
              <w:rPr>
                <w:lang w:val="es-ES"/>
              </w:rPr>
            </w:pPr>
            <w:r w:rsidRPr="00232EBB">
              <w:rPr>
                <w:lang w:val="es-ES"/>
              </w:rPr>
              <w:t>1,2</w:t>
            </w:r>
            <w:r w:rsidR="004F04FE">
              <w:rPr>
                <w:lang w:val="es-ES"/>
              </w:rPr>
              <w:t>33</w:t>
            </w:r>
          </w:p>
        </w:tc>
      </w:tr>
      <w:tr w:rsidR="00FD4B8E" w:rsidRPr="00232EBB" w14:paraId="6830CCF9" w14:textId="77777777" w:rsidTr="00822846">
        <w:trPr>
          <w:trHeight w:val="350"/>
          <w:jc w:val="center"/>
        </w:trPr>
        <w:tc>
          <w:tcPr>
            <w:tcW w:w="4121" w:type="dxa"/>
            <w:tcBorders>
              <w:top w:val="single" w:sz="4" w:space="0" w:color="auto"/>
              <w:left w:val="single" w:sz="4" w:space="0" w:color="auto"/>
              <w:bottom w:val="single" w:sz="4" w:space="0" w:color="auto"/>
              <w:right w:val="single" w:sz="4" w:space="0" w:color="auto"/>
            </w:tcBorders>
            <w:noWrap/>
            <w:vAlign w:val="bottom"/>
          </w:tcPr>
          <w:p w14:paraId="3D00374E" w14:textId="77777777" w:rsidR="00FD4B8E" w:rsidRPr="00232EBB" w:rsidRDefault="00FD4B8E" w:rsidP="00B13188">
            <w:pPr>
              <w:spacing w:after="0" w:line="240" w:lineRule="auto"/>
              <w:rPr>
                <w:lang w:val="es-ES"/>
              </w:rPr>
            </w:pPr>
            <w:r w:rsidRPr="00232EBB">
              <w:rPr>
                <w:lang w:val="es-ES"/>
              </w:rPr>
              <w:t>Visitas de inspección *</w:t>
            </w:r>
          </w:p>
        </w:tc>
        <w:tc>
          <w:tcPr>
            <w:tcW w:w="2152" w:type="dxa"/>
            <w:tcBorders>
              <w:top w:val="single" w:sz="4" w:space="0" w:color="auto"/>
              <w:left w:val="nil"/>
              <w:bottom w:val="single" w:sz="4" w:space="0" w:color="auto"/>
              <w:right w:val="single" w:sz="4" w:space="0" w:color="auto"/>
            </w:tcBorders>
            <w:noWrap/>
            <w:vAlign w:val="bottom"/>
          </w:tcPr>
          <w:p w14:paraId="2AADCA26" w14:textId="6E8B2BE2" w:rsidR="00FD4B8E" w:rsidRPr="00232EBB" w:rsidRDefault="00FD4B8E" w:rsidP="00B13188">
            <w:pPr>
              <w:spacing w:after="0" w:line="240" w:lineRule="auto"/>
              <w:jc w:val="center"/>
              <w:rPr>
                <w:lang w:val="es-ES"/>
              </w:rPr>
            </w:pPr>
            <w:r w:rsidRPr="00232EBB">
              <w:rPr>
                <w:lang w:val="es-ES"/>
              </w:rPr>
              <w:t>9</w:t>
            </w:r>
            <w:r w:rsidR="004F04FE">
              <w:rPr>
                <w:lang w:val="es-ES"/>
              </w:rPr>
              <w:t>1</w:t>
            </w:r>
            <w:r w:rsidRPr="00232EBB">
              <w:rPr>
                <w:lang w:val="es-ES"/>
              </w:rPr>
              <w:t>6</w:t>
            </w:r>
          </w:p>
        </w:tc>
      </w:tr>
      <w:tr w:rsidR="00FD4B8E" w:rsidRPr="00232EBB" w14:paraId="1514E887" w14:textId="77777777" w:rsidTr="00822846">
        <w:trPr>
          <w:trHeight w:val="260"/>
          <w:jc w:val="center"/>
        </w:trPr>
        <w:tc>
          <w:tcPr>
            <w:tcW w:w="4121" w:type="dxa"/>
            <w:tcBorders>
              <w:top w:val="single" w:sz="4" w:space="0" w:color="auto"/>
              <w:left w:val="single" w:sz="4" w:space="0" w:color="auto"/>
              <w:bottom w:val="single" w:sz="4" w:space="0" w:color="auto"/>
              <w:right w:val="single" w:sz="4" w:space="0" w:color="auto"/>
            </w:tcBorders>
            <w:noWrap/>
            <w:vAlign w:val="bottom"/>
            <w:hideMark/>
          </w:tcPr>
          <w:p w14:paraId="33345D00" w14:textId="77777777" w:rsidR="00FD4B8E" w:rsidRPr="00232EBB" w:rsidRDefault="00FD4B8E" w:rsidP="00B13188">
            <w:pPr>
              <w:spacing w:after="0" w:line="240" w:lineRule="auto"/>
              <w:rPr>
                <w:lang w:val="es-ES"/>
              </w:rPr>
            </w:pPr>
            <w:r w:rsidRPr="00232EBB">
              <w:rPr>
                <w:lang w:val="es-ES"/>
              </w:rPr>
              <w:t>Solicitudes Empleadores</w:t>
            </w:r>
          </w:p>
        </w:tc>
        <w:tc>
          <w:tcPr>
            <w:tcW w:w="2152" w:type="dxa"/>
            <w:tcBorders>
              <w:top w:val="single" w:sz="4" w:space="0" w:color="auto"/>
              <w:left w:val="nil"/>
              <w:bottom w:val="single" w:sz="4" w:space="0" w:color="auto"/>
              <w:right w:val="single" w:sz="4" w:space="0" w:color="auto"/>
            </w:tcBorders>
            <w:noWrap/>
            <w:vAlign w:val="bottom"/>
            <w:hideMark/>
          </w:tcPr>
          <w:p w14:paraId="15D12F6B" w14:textId="455B3DBF" w:rsidR="00FD4B8E" w:rsidRPr="00232EBB" w:rsidRDefault="00FD4B8E" w:rsidP="00B13188">
            <w:pPr>
              <w:spacing w:after="0" w:line="240" w:lineRule="auto"/>
              <w:jc w:val="center"/>
              <w:rPr>
                <w:lang w:val="es-ES"/>
              </w:rPr>
            </w:pPr>
            <w:r w:rsidRPr="00232EBB">
              <w:rPr>
                <w:lang w:val="es-ES"/>
              </w:rPr>
              <w:t>5,</w:t>
            </w:r>
            <w:r w:rsidR="004F04FE">
              <w:rPr>
                <w:lang w:val="es-ES"/>
              </w:rPr>
              <w:t>190</w:t>
            </w:r>
          </w:p>
        </w:tc>
      </w:tr>
      <w:tr w:rsidR="00FD4B8E" w:rsidRPr="00232EBB" w14:paraId="58791157" w14:textId="77777777" w:rsidTr="00822846">
        <w:trPr>
          <w:trHeight w:val="341"/>
          <w:jc w:val="center"/>
        </w:trPr>
        <w:tc>
          <w:tcPr>
            <w:tcW w:w="4121" w:type="dxa"/>
            <w:tcBorders>
              <w:top w:val="nil"/>
              <w:left w:val="single" w:sz="4" w:space="0" w:color="auto"/>
              <w:bottom w:val="single" w:sz="4" w:space="0" w:color="auto"/>
              <w:right w:val="single" w:sz="4" w:space="0" w:color="auto"/>
            </w:tcBorders>
            <w:noWrap/>
            <w:vAlign w:val="bottom"/>
            <w:hideMark/>
          </w:tcPr>
          <w:p w14:paraId="5E292F8D" w14:textId="77777777" w:rsidR="00FD4B8E" w:rsidRPr="00232EBB" w:rsidRDefault="00FD4B8E" w:rsidP="00B13188">
            <w:pPr>
              <w:spacing w:after="0" w:line="240" w:lineRule="auto"/>
              <w:rPr>
                <w:lang w:val="es-ES"/>
              </w:rPr>
            </w:pPr>
            <w:r w:rsidRPr="00232EBB">
              <w:rPr>
                <w:lang w:val="es-ES"/>
              </w:rPr>
              <w:t>Multas impuestas **</w:t>
            </w:r>
          </w:p>
        </w:tc>
        <w:tc>
          <w:tcPr>
            <w:tcW w:w="2152" w:type="dxa"/>
            <w:tcBorders>
              <w:top w:val="nil"/>
              <w:left w:val="nil"/>
              <w:bottom w:val="single" w:sz="4" w:space="0" w:color="auto"/>
              <w:right w:val="single" w:sz="4" w:space="0" w:color="auto"/>
            </w:tcBorders>
            <w:noWrap/>
            <w:vAlign w:val="bottom"/>
            <w:hideMark/>
          </w:tcPr>
          <w:p w14:paraId="68171477" w14:textId="6A6D9365" w:rsidR="00FD4B8E" w:rsidRPr="00232EBB" w:rsidRDefault="00BD507A" w:rsidP="00B13188">
            <w:pPr>
              <w:spacing w:after="0" w:line="240" w:lineRule="auto"/>
              <w:jc w:val="center"/>
              <w:rPr>
                <w:lang w:val="es-ES"/>
              </w:rPr>
            </w:pPr>
            <w:r>
              <w:rPr>
                <w:lang w:val="es-ES"/>
              </w:rPr>
              <w:t>75</w:t>
            </w:r>
          </w:p>
        </w:tc>
      </w:tr>
      <w:tr w:rsidR="00FD4B8E" w:rsidRPr="00232EBB" w14:paraId="15F2DF78" w14:textId="77777777" w:rsidTr="00822846">
        <w:trPr>
          <w:trHeight w:val="260"/>
          <w:jc w:val="center"/>
        </w:trPr>
        <w:tc>
          <w:tcPr>
            <w:tcW w:w="4121" w:type="dxa"/>
            <w:tcBorders>
              <w:top w:val="nil"/>
              <w:left w:val="single" w:sz="4" w:space="0" w:color="auto"/>
              <w:bottom w:val="single" w:sz="4" w:space="0" w:color="auto"/>
              <w:right w:val="single" w:sz="4" w:space="0" w:color="auto"/>
            </w:tcBorders>
            <w:noWrap/>
            <w:vAlign w:val="bottom"/>
            <w:hideMark/>
          </w:tcPr>
          <w:p w14:paraId="379B16F7" w14:textId="77777777" w:rsidR="00FD4B8E" w:rsidRPr="00232EBB" w:rsidRDefault="00FD4B8E" w:rsidP="00B13188">
            <w:pPr>
              <w:spacing w:after="0" w:line="240" w:lineRule="auto"/>
              <w:rPr>
                <w:lang w:val="es-ES"/>
              </w:rPr>
            </w:pPr>
            <w:r w:rsidRPr="00232EBB">
              <w:rPr>
                <w:lang w:val="es-ES"/>
              </w:rPr>
              <w:t>Total</w:t>
            </w:r>
          </w:p>
        </w:tc>
        <w:tc>
          <w:tcPr>
            <w:tcW w:w="2152" w:type="dxa"/>
            <w:tcBorders>
              <w:top w:val="nil"/>
              <w:left w:val="nil"/>
              <w:bottom w:val="single" w:sz="4" w:space="0" w:color="auto"/>
              <w:right w:val="single" w:sz="4" w:space="0" w:color="auto"/>
            </w:tcBorders>
            <w:noWrap/>
            <w:vAlign w:val="bottom"/>
            <w:hideMark/>
          </w:tcPr>
          <w:p w14:paraId="72B49CDE" w14:textId="5735376A" w:rsidR="00FD4B8E" w:rsidRPr="00232EBB" w:rsidRDefault="00FD4B8E" w:rsidP="00B13188">
            <w:pPr>
              <w:spacing w:after="0" w:line="240" w:lineRule="auto"/>
              <w:jc w:val="center"/>
              <w:rPr>
                <w:b/>
                <w:bCs/>
                <w:lang w:val="es-ES"/>
              </w:rPr>
            </w:pPr>
            <w:r w:rsidRPr="004F04FE">
              <w:rPr>
                <w:lang w:val="es-ES"/>
              </w:rPr>
              <w:t>7,4</w:t>
            </w:r>
            <w:r w:rsidR="004F04FE" w:rsidRPr="004F04FE">
              <w:rPr>
                <w:lang w:val="es-ES"/>
              </w:rPr>
              <w:t>31</w:t>
            </w:r>
          </w:p>
        </w:tc>
      </w:tr>
    </w:tbl>
    <w:p w14:paraId="1A64B20D" w14:textId="55A7A47D" w:rsidR="002E7F05" w:rsidRPr="00232EBB" w:rsidRDefault="002E7F05" w:rsidP="00BE09C4">
      <w:pPr>
        <w:spacing w:afterLines="160" w:after="384" w:line="360" w:lineRule="auto"/>
        <w:ind w:left="-810"/>
        <w:jc w:val="both"/>
        <w:rPr>
          <w:rFonts w:eastAsia="Calibri"/>
          <w:noProof/>
          <w:color w:val="4C4747"/>
          <w:lang w:val="es-DO"/>
        </w:rPr>
      </w:pPr>
      <w:r w:rsidRPr="00232EBB">
        <w:rPr>
          <w:rFonts w:eastAsia="Calibri"/>
          <w:b/>
          <w:bCs/>
          <w:noProof/>
          <w:color w:val="4C4747"/>
          <w:sz w:val="18"/>
          <w:szCs w:val="18"/>
          <w:lang w:val="es-DO"/>
        </w:rPr>
        <w:lastRenderedPageBreak/>
        <w:t xml:space="preserve">                        </w:t>
      </w:r>
      <w:r w:rsidRPr="00232EBB">
        <w:rPr>
          <w:rFonts w:eastAsia="Calibri"/>
          <w:b/>
          <w:bCs/>
          <w:noProof/>
          <w:sz w:val="18"/>
          <w:szCs w:val="18"/>
          <w:lang w:val="es-DO"/>
        </w:rPr>
        <w:t>Tabla 1</w:t>
      </w:r>
      <w:r w:rsidR="00E27BAB">
        <w:rPr>
          <w:rFonts w:eastAsia="Calibri"/>
          <w:b/>
          <w:bCs/>
          <w:noProof/>
          <w:sz w:val="18"/>
          <w:szCs w:val="18"/>
          <w:lang w:val="es-DO"/>
        </w:rPr>
        <w:t>1</w:t>
      </w:r>
      <w:r w:rsidRPr="00232EBB">
        <w:rPr>
          <w:rFonts w:eastAsia="Calibri"/>
          <w:b/>
          <w:bCs/>
          <w:noProof/>
          <w:sz w:val="18"/>
          <w:szCs w:val="18"/>
          <w:lang w:val="es-DO"/>
        </w:rPr>
        <w:t>:</w:t>
      </w:r>
      <w:r w:rsidRPr="00232EBB">
        <w:rPr>
          <w:rFonts w:eastAsia="Calibri"/>
          <w:noProof/>
          <w:sz w:val="18"/>
          <w:szCs w:val="18"/>
          <w:lang w:val="es-DO"/>
        </w:rPr>
        <w:t xml:space="preserve"> Procesos de Auditoria.</w:t>
      </w:r>
    </w:p>
    <w:p w14:paraId="582AE514" w14:textId="4D8ADE8B" w:rsidR="002E7F05" w:rsidRPr="00232EBB" w:rsidRDefault="006F2505" w:rsidP="00BE09C4">
      <w:pPr>
        <w:spacing w:afterLines="160" w:after="384" w:line="276" w:lineRule="auto"/>
        <w:jc w:val="both"/>
        <w:rPr>
          <w:lang w:val="es-ES"/>
        </w:rPr>
      </w:pPr>
      <w:r w:rsidRPr="00232EBB">
        <w:rPr>
          <w:lang w:val="es-ES"/>
        </w:rPr>
        <w:t>*</w:t>
      </w:r>
      <w:r w:rsidR="002E7F05" w:rsidRPr="00232EBB">
        <w:rPr>
          <w:lang w:val="es-ES"/>
        </w:rPr>
        <w:t xml:space="preserve">Se realizaron </w:t>
      </w:r>
      <w:r w:rsidR="006A1406">
        <w:rPr>
          <w:lang w:val="es-ES"/>
        </w:rPr>
        <w:t>1,349</w:t>
      </w:r>
      <w:r w:rsidR="002E7F05" w:rsidRPr="00232EBB">
        <w:rPr>
          <w:lang w:val="es-ES"/>
        </w:rPr>
        <w:t xml:space="preserve"> visitas de inspección, de las cuales se completaron 902 informes contentivos de los resultados obtenidos.</w:t>
      </w:r>
    </w:p>
    <w:p w14:paraId="00A32455" w14:textId="2C82F950" w:rsidR="002E7F05" w:rsidRDefault="002E7F05" w:rsidP="002E7F05">
      <w:pPr>
        <w:spacing w:afterLines="160" w:after="384" w:line="276" w:lineRule="auto"/>
        <w:jc w:val="both"/>
        <w:rPr>
          <w:lang w:val="es-ES"/>
        </w:rPr>
      </w:pPr>
      <w:r w:rsidRPr="00232EBB">
        <w:rPr>
          <w:lang w:val="es-ES"/>
        </w:rPr>
        <w:t>** Basado en la fecha efectiva de notificación de la Resolución Sancionadora al empleador infractor.</w:t>
      </w:r>
    </w:p>
    <w:p w14:paraId="0CA4059D" w14:textId="32877657" w:rsidR="002A0BA8" w:rsidRPr="00232EBB" w:rsidRDefault="002A0BA8" w:rsidP="002E7F05">
      <w:pPr>
        <w:spacing w:afterLines="160" w:after="384" w:line="276" w:lineRule="auto"/>
        <w:jc w:val="both"/>
        <w:rPr>
          <w:lang w:val="es-ES"/>
        </w:rPr>
      </w:pPr>
      <w:r>
        <w:rPr>
          <w:noProof/>
        </w:rPr>
        <w:drawing>
          <wp:inline distT="0" distB="0" distL="0" distR="0" wp14:anchorId="11D3B4C9" wp14:editId="5B49489F">
            <wp:extent cx="5029200" cy="3749040"/>
            <wp:effectExtent l="0" t="0" r="0" b="3810"/>
            <wp:docPr id="1214095204" name="Picture 1214095204" descr="A blue circ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095204" name="Picture 1214095204" descr="A blue circle with white text&#10;&#10;Description automatically generated"/>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29200" cy="3749040"/>
                    </a:xfrm>
                    <a:prstGeom prst="rect">
                      <a:avLst/>
                    </a:prstGeom>
                    <a:noFill/>
                    <a:ln>
                      <a:noFill/>
                    </a:ln>
                  </pic:spPr>
                </pic:pic>
              </a:graphicData>
            </a:graphic>
          </wp:inline>
        </w:drawing>
      </w:r>
    </w:p>
    <w:p w14:paraId="1950743B" w14:textId="134BAF52" w:rsidR="000F57D8" w:rsidRDefault="00CB7EEC" w:rsidP="009E6B75">
      <w:pPr>
        <w:spacing w:after="0" w:line="240" w:lineRule="auto"/>
        <w:rPr>
          <w:rFonts w:eastAsia="Calibri"/>
          <w:noProof/>
          <w:sz w:val="18"/>
          <w:szCs w:val="18"/>
          <w:lang w:val="es-DO"/>
        </w:rPr>
      </w:pPr>
      <w:r w:rsidRPr="00232EBB">
        <w:rPr>
          <w:rFonts w:eastAsia="Calibri"/>
          <w:noProof/>
          <w:lang w:val="es-DO"/>
        </w:rPr>
        <w:t xml:space="preserve"> </w:t>
      </w:r>
      <w:r w:rsidR="000F57D8" w:rsidRPr="00232EBB">
        <w:rPr>
          <w:rFonts w:eastAsia="Calibri"/>
          <w:b/>
          <w:bCs/>
          <w:noProof/>
          <w:sz w:val="18"/>
          <w:szCs w:val="18"/>
          <w:lang w:val="es-DO"/>
        </w:rPr>
        <w:t>Gráfico 1</w:t>
      </w:r>
      <w:r w:rsidR="000F57D8" w:rsidRPr="00232EBB">
        <w:rPr>
          <w:rFonts w:eastAsia="Calibri"/>
          <w:noProof/>
          <w:sz w:val="18"/>
          <w:szCs w:val="18"/>
          <w:lang w:val="es-DO"/>
        </w:rPr>
        <w:t>: Distribución de Procesos de Fiscalización Externa</w:t>
      </w:r>
    </w:p>
    <w:p w14:paraId="1275736E" w14:textId="77777777" w:rsidR="00D464CB" w:rsidRDefault="00D464CB" w:rsidP="009E6B75">
      <w:pPr>
        <w:spacing w:after="0" w:line="240" w:lineRule="auto"/>
        <w:rPr>
          <w:rFonts w:eastAsia="Calibri"/>
          <w:noProof/>
          <w:sz w:val="18"/>
          <w:szCs w:val="18"/>
          <w:lang w:val="es-DO"/>
        </w:rPr>
      </w:pPr>
    </w:p>
    <w:p w14:paraId="4B00E1A9" w14:textId="77777777" w:rsidR="00D464CB" w:rsidRDefault="00D464CB" w:rsidP="009E6B75">
      <w:pPr>
        <w:spacing w:after="0" w:line="240" w:lineRule="auto"/>
        <w:rPr>
          <w:rFonts w:eastAsia="Calibri"/>
          <w:noProof/>
          <w:sz w:val="18"/>
          <w:szCs w:val="18"/>
          <w:lang w:val="es-DO"/>
        </w:rPr>
      </w:pPr>
    </w:p>
    <w:p w14:paraId="0E91CD64" w14:textId="77777777" w:rsidR="00D464CB" w:rsidRDefault="00D464CB" w:rsidP="009E6B75">
      <w:pPr>
        <w:spacing w:after="0" w:line="240" w:lineRule="auto"/>
        <w:rPr>
          <w:rFonts w:eastAsia="Calibri"/>
          <w:noProof/>
          <w:sz w:val="18"/>
          <w:szCs w:val="18"/>
          <w:lang w:val="es-DO"/>
        </w:rPr>
      </w:pPr>
    </w:p>
    <w:p w14:paraId="1823F738" w14:textId="77777777" w:rsidR="00D464CB" w:rsidRDefault="00D464CB" w:rsidP="009E6B75">
      <w:pPr>
        <w:spacing w:after="0" w:line="240" w:lineRule="auto"/>
        <w:rPr>
          <w:rFonts w:eastAsia="Calibri"/>
          <w:noProof/>
          <w:sz w:val="18"/>
          <w:szCs w:val="18"/>
          <w:lang w:val="es-DO"/>
        </w:rPr>
      </w:pPr>
    </w:p>
    <w:p w14:paraId="5D5919A6" w14:textId="77777777" w:rsidR="00D464CB" w:rsidRDefault="00D464CB" w:rsidP="009E6B75">
      <w:pPr>
        <w:spacing w:after="0" w:line="240" w:lineRule="auto"/>
        <w:rPr>
          <w:rFonts w:eastAsia="Calibri"/>
          <w:noProof/>
          <w:sz w:val="18"/>
          <w:szCs w:val="18"/>
          <w:lang w:val="es-DO"/>
        </w:rPr>
      </w:pPr>
    </w:p>
    <w:p w14:paraId="4EE8A0C8" w14:textId="77777777" w:rsidR="00D464CB" w:rsidRDefault="00D464CB" w:rsidP="009E6B75">
      <w:pPr>
        <w:spacing w:after="0" w:line="240" w:lineRule="auto"/>
        <w:rPr>
          <w:rFonts w:eastAsia="Calibri"/>
          <w:noProof/>
          <w:sz w:val="18"/>
          <w:szCs w:val="18"/>
          <w:lang w:val="es-DO"/>
        </w:rPr>
      </w:pPr>
    </w:p>
    <w:p w14:paraId="65BCD989" w14:textId="77777777" w:rsidR="00D464CB" w:rsidRDefault="00D464CB" w:rsidP="009E6B75">
      <w:pPr>
        <w:spacing w:after="0" w:line="240" w:lineRule="auto"/>
        <w:rPr>
          <w:rFonts w:eastAsia="Calibri"/>
          <w:noProof/>
          <w:sz w:val="18"/>
          <w:szCs w:val="18"/>
          <w:lang w:val="es-DO"/>
        </w:rPr>
      </w:pPr>
    </w:p>
    <w:p w14:paraId="1F598E05" w14:textId="77777777" w:rsidR="00D464CB" w:rsidRDefault="00D464CB" w:rsidP="009E6B75">
      <w:pPr>
        <w:spacing w:after="0" w:line="240" w:lineRule="auto"/>
        <w:rPr>
          <w:rFonts w:eastAsia="Calibri"/>
          <w:noProof/>
          <w:sz w:val="18"/>
          <w:szCs w:val="18"/>
          <w:lang w:val="es-DO"/>
        </w:rPr>
      </w:pPr>
    </w:p>
    <w:p w14:paraId="1B83D04D" w14:textId="77777777" w:rsidR="00D464CB" w:rsidRDefault="00D464CB" w:rsidP="009E6B75">
      <w:pPr>
        <w:spacing w:after="0" w:line="240" w:lineRule="auto"/>
        <w:rPr>
          <w:rFonts w:eastAsia="Calibri"/>
          <w:noProof/>
          <w:sz w:val="18"/>
          <w:szCs w:val="18"/>
          <w:lang w:val="es-DO"/>
        </w:rPr>
      </w:pPr>
    </w:p>
    <w:p w14:paraId="26EBC7BF" w14:textId="77777777" w:rsidR="00D464CB" w:rsidRDefault="00D464CB" w:rsidP="009E6B75">
      <w:pPr>
        <w:spacing w:after="0" w:line="240" w:lineRule="auto"/>
        <w:rPr>
          <w:rFonts w:eastAsia="Calibri"/>
          <w:noProof/>
          <w:sz w:val="18"/>
          <w:szCs w:val="18"/>
          <w:lang w:val="es-DO"/>
        </w:rPr>
      </w:pPr>
    </w:p>
    <w:p w14:paraId="35C2F4D2" w14:textId="77777777" w:rsidR="00D464CB" w:rsidRDefault="00D464CB" w:rsidP="009E6B75">
      <w:pPr>
        <w:spacing w:after="0" w:line="240" w:lineRule="auto"/>
        <w:rPr>
          <w:rFonts w:eastAsia="Calibri"/>
          <w:noProof/>
          <w:sz w:val="18"/>
          <w:szCs w:val="18"/>
          <w:lang w:val="es-DO"/>
        </w:rPr>
      </w:pPr>
    </w:p>
    <w:p w14:paraId="3BF7FF68" w14:textId="77777777" w:rsidR="00D464CB" w:rsidRDefault="00D464CB" w:rsidP="009E6B75">
      <w:pPr>
        <w:spacing w:after="0" w:line="240" w:lineRule="auto"/>
        <w:rPr>
          <w:rFonts w:eastAsia="Calibri"/>
          <w:noProof/>
          <w:sz w:val="18"/>
          <w:szCs w:val="18"/>
          <w:lang w:val="es-DO"/>
        </w:rPr>
      </w:pPr>
    </w:p>
    <w:p w14:paraId="192CC39C" w14:textId="77777777" w:rsidR="00D464CB" w:rsidRDefault="00D464CB" w:rsidP="009E6B75">
      <w:pPr>
        <w:spacing w:after="0" w:line="240" w:lineRule="auto"/>
        <w:rPr>
          <w:rFonts w:eastAsia="Calibri"/>
          <w:noProof/>
          <w:sz w:val="18"/>
          <w:szCs w:val="18"/>
          <w:lang w:val="es-DO"/>
        </w:rPr>
      </w:pPr>
    </w:p>
    <w:p w14:paraId="238BF113" w14:textId="77777777" w:rsidR="00D464CB" w:rsidRPr="00232EBB" w:rsidRDefault="00D464CB" w:rsidP="009E6B75">
      <w:pPr>
        <w:spacing w:after="0" w:line="240" w:lineRule="auto"/>
        <w:rPr>
          <w:rFonts w:eastAsia="Calibri"/>
          <w:noProof/>
          <w:sz w:val="18"/>
          <w:szCs w:val="18"/>
          <w:lang w:val="es-DO"/>
        </w:rPr>
      </w:pPr>
    </w:p>
    <w:p w14:paraId="7C577094" w14:textId="77777777" w:rsidR="009E6B75" w:rsidRPr="00232EBB" w:rsidRDefault="009E6B75" w:rsidP="009E6B75">
      <w:pPr>
        <w:spacing w:after="0" w:line="240" w:lineRule="auto"/>
        <w:rPr>
          <w:rFonts w:eastAsia="Times New Roman"/>
          <w:b/>
          <w:bCs/>
          <w:spacing w:val="0"/>
          <w:lang w:val="es-ES"/>
        </w:rPr>
      </w:pPr>
    </w:p>
    <w:p w14:paraId="064A5D1A" w14:textId="77777777" w:rsidR="002D2273" w:rsidRPr="00232EBB" w:rsidRDefault="00295F77" w:rsidP="002D2273">
      <w:pPr>
        <w:spacing w:afterLines="160" w:after="384" w:line="240" w:lineRule="auto"/>
        <w:jc w:val="both"/>
        <w:rPr>
          <w:rFonts w:eastAsia="Calibri"/>
          <w:lang w:val="es-DO"/>
        </w:rPr>
      </w:pPr>
      <w:r w:rsidRPr="00232EBB">
        <w:rPr>
          <w:rFonts w:eastAsia="Calibri"/>
          <w:b/>
          <w:bCs/>
          <w:noProof/>
          <w:lang w:val="es-DO"/>
        </w:rPr>
        <w:lastRenderedPageBreak/>
        <w:t>Notificaciones de Pagos Generadas por Auditorías (NPA):</w:t>
      </w:r>
    </w:p>
    <w:p w14:paraId="480E7C75" w14:textId="4FFBBAF3" w:rsidR="00295F77" w:rsidRDefault="00295F77" w:rsidP="002D2273">
      <w:pPr>
        <w:spacing w:afterLines="160" w:after="384" w:line="360" w:lineRule="auto"/>
        <w:jc w:val="both"/>
        <w:rPr>
          <w:rFonts w:eastAsia="Calibri"/>
          <w:lang w:val="es-DO"/>
        </w:rPr>
      </w:pPr>
      <w:r w:rsidRPr="00232EBB">
        <w:rPr>
          <w:rFonts w:eastAsia="Calibri"/>
          <w:lang w:val="es-DO"/>
        </w:rPr>
        <w:t>Para el período</w:t>
      </w:r>
      <w:r w:rsidR="005C4045" w:rsidRPr="00232EBB">
        <w:rPr>
          <w:rFonts w:eastAsia="Calibri"/>
          <w:lang w:val="es-DO"/>
        </w:rPr>
        <w:t xml:space="preserve"> </w:t>
      </w:r>
      <w:r w:rsidR="00AC10A4" w:rsidRPr="00232EBB">
        <w:rPr>
          <w:rFonts w:eastAsia="Calibri"/>
          <w:lang w:val="es-DO"/>
        </w:rPr>
        <w:t>enero</w:t>
      </w:r>
      <w:r w:rsidRPr="00232EBB">
        <w:rPr>
          <w:rFonts w:eastAsia="Calibri"/>
          <w:lang w:val="es-DO"/>
        </w:rPr>
        <w:t xml:space="preserve"> - diciembre de 202</w:t>
      </w:r>
      <w:r w:rsidR="004E388D" w:rsidRPr="00232EBB">
        <w:rPr>
          <w:rFonts w:eastAsia="Calibri"/>
          <w:lang w:val="es-DO"/>
        </w:rPr>
        <w:t>5</w:t>
      </w:r>
      <w:r w:rsidRPr="00232EBB">
        <w:rPr>
          <w:rFonts w:eastAsia="Calibri"/>
          <w:lang w:val="es-DO"/>
        </w:rPr>
        <w:t xml:space="preserve">, se realizaron </w:t>
      </w:r>
      <w:r w:rsidR="002E7F05" w:rsidRPr="00232EBB">
        <w:rPr>
          <w:rFonts w:eastAsia="Calibri"/>
          <w:lang w:val="es-DO"/>
        </w:rPr>
        <w:t>479</w:t>
      </w:r>
      <w:r w:rsidRPr="00232EBB">
        <w:rPr>
          <w:rFonts w:eastAsia="Calibri"/>
          <w:lang w:val="es-DO"/>
        </w:rPr>
        <w:t xml:space="preserve"> cargas de Notificaciones de Auditoría, las cuales ascienden a un monto de RD$</w:t>
      </w:r>
      <w:r w:rsidR="002E7F05" w:rsidRPr="00232EBB">
        <w:rPr>
          <w:rFonts w:eastAsia="Calibri"/>
          <w:lang w:val="es-DO"/>
        </w:rPr>
        <w:t>56.5</w:t>
      </w:r>
      <w:r w:rsidRPr="00232EBB">
        <w:rPr>
          <w:rFonts w:eastAsia="Calibri"/>
          <w:lang w:val="es-DO"/>
        </w:rPr>
        <w:t xml:space="preserve"> MM, encontrándose el </w:t>
      </w:r>
      <w:r w:rsidR="002E7F05" w:rsidRPr="00232EBB">
        <w:rPr>
          <w:rFonts w:eastAsia="Calibri"/>
          <w:lang w:val="es-DO"/>
        </w:rPr>
        <w:t>37.25</w:t>
      </w:r>
      <w:r w:rsidRPr="00232EBB">
        <w:rPr>
          <w:rFonts w:eastAsia="Calibri"/>
          <w:lang w:val="es-DO"/>
        </w:rPr>
        <w:t xml:space="preserve">% en estatus pagado y el </w:t>
      </w:r>
      <w:r w:rsidR="002E7F05" w:rsidRPr="00232EBB">
        <w:rPr>
          <w:rFonts w:eastAsia="Calibri"/>
          <w:lang w:val="es-DO"/>
        </w:rPr>
        <w:t>62.75</w:t>
      </w:r>
      <w:r w:rsidRPr="00232EBB">
        <w:rPr>
          <w:rFonts w:eastAsia="Calibri"/>
          <w:lang w:val="es-DO"/>
        </w:rPr>
        <w:t>% en estatus vencido, tal como se indica a continuación:</w:t>
      </w:r>
    </w:p>
    <w:p w14:paraId="3667F5AF" w14:textId="6866AC2A" w:rsidR="00A136A6" w:rsidRPr="00232EBB" w:rsidRDefault="00A136A6" w:rsidP="00A136A6">
      <w:pPr>
        <w:spacing w:afterLines="160" w:after="384" w:line="360" w:lineRule="auto"/>
        <w:jc w:val="center"/>
        <w:rPr>
          <w:rFonts w:eastAsia="Calibri"/>
          <w:lang w:val="es-DO"/>
        </w:rPr>
      </w:pPr>
      <w:r>
        <w:rPr>
          <w:noProof/>
        </w:rPr>
        <w:drawing>
          <wp:inline distT="0" distB="0" distL="0" distR="0" wp14:anchorId="45E7B195" wp14:editId="20A86A2C">
            <wp:extent cx="4095750" cy="1843088"/>
            <wp:effectExtent l="0" t="0" r="0" b="5080"/>
            <wp:docPr id="184819232" name="Chart 1">
              <a:extLst xmlns:a="http://schemas.openxmlformats.org/drawingml/2006/main">
                <a:ext uri="{FF2B5EF4-FFF2-40B4-BE49-F238E27FC236}">
                  <a16:creationId xmlns:a16="http://schemas.microsoft.com/office/drawing/2014/main" id="{D8EC30B8-924C-D223-2FE8-7A88DB5DCB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9D4545B" w14:textId="7BA60814" w:rsidR="00AA5CBC" w:rsidRPr="00232EBB" w:rsidRDefault="000F57D8" w:rsidP="00461E24">
      <w:pPr>
        <w:spacing w:afterLines="160" w:after="384" w:line="360" w:lineRule="auto"/>
        <w:rPr>
          <w:rFonts w:eastAsia="Calibri"/>
          <w:noProof/>
          <w:color w:val="4C4747"/>
          <w:sz w:val="18"/>
          <w:szCs w:val="18"/>
          <w:lang w:val="es-DO"/>
        </w:rPr>
      </w:pPr>
      <w:r w:rsidRPr="00232EBB">
        <w:rPr>
          <w:rFonts w:eastAsia="Calibri"/>
          <w:b/>
          <w:bCs/>
          <w:noProof/>
          <w:color w:val="7B7B7B" w:themeColor="accent3" w:themeShade="BF"/>
          <w:sz w:val="18"/>
          <w:szCs w:val="18"/>
          <w:lang w:val="es-DO"/>
        </w:rPr>
        <w:t>G</w:t>
      </w:r>
      <w:bookmarkStart w:id="49" w:name="_Hlk216335780"/>
      <w:r w:rsidRPr="00232EBB">
        <w:rPr>
          <w:rFonts w:eastAsia="Calibri"/>
          <w:b/>
          <w:bCs/>
          <w:noProof/>
          <w:color w:val="7B7B7B" w:themeColor="accent3" w:themeShade="BF"/>
          <w:sz w:val="18"/>
          <w:szCs w:val="18"/>
          <w:lang w:val="es-DO"/>
        </w:rPr>
        <w:t>ráfico 2</w:t>
      </w:r>
      <w:r w:rsidRPr="00232EBB">
        <w:rPr>
          <w:rFonts w:eastAsia="Calibri"/>
          <w:noProof/>
          <w:color w:val="7B7B7B" w:themeColor="accent3" w:themeShade="BF"/>
          <w:lang w:val="es-DO"/>
        </w:rPr>
        <w:t xml:space="preserve">: </w:t>
      </w:r>
      <w:r w:rsidRPr="00232EBB">
        <w:rPr>
          <w:rFonts w:eastAsia="Calibri"/>
          <w:noProof/>
          <w:color w:val="4C4747"/>
          <w:sz w:val="18"/>
          <w:szCs w:val="18"/>
          <w:lang w:val="es-DO"/>
        </w:rPr>
        <w:t>Notificaciones de Pago por Auditorias</w:t>
      </w:r>
    </w:p>
    <w:tbl>
      <w:tblPr>
        <w:tblStyle w:val="TableGrid1"/>
        <w:tblW w:w="7734" w:type="dxa"/>
        <w:tblLook w:val="04A0" w:firstRow="1" w:lastRow="0" w:firstColumn="1" w:lastColumn="0" w:noHBand="0" w:noVBand="1"/>
      </w:tblPr>
      <w:tblGrid>
        <w:gridCol w:w="2070"/>
        <w:gridCol w:w="1952"/>
        <w:gridCol w:w="1856"/>
        <w:gridCol w:w="1856"/>
      </w:tblGrid>
      <w:tr w:rsidR="006C03EF" w:rsidRPr="00232EBB" w14:paraId="7A6B7396" w14:textId="77777777" w:rsidTr="00A136A6">
        <w:trPr>
          <w:trHeight w:val="313"/>
        </w:trPr>
        <w:tc>
          <w:tcPr>
            <w:tcW w:w="2070" w:type="dxa"/>
            <w:shd w:val="clear" w:color="auto" w:fill="1F3864" w:themeFill="accent1" w:themeFillShade="80"/>
            <w:noWrap/>
            <w:hideMark/>
          </w:tcPr>
          <w:bookmarkEnd w:id="49"/>
          <w:p w14:paraId="61C146AC" w14:textId="77777777" w:rsidR="006C03EF" w:rsidRPr="00232EBB" w:rsidRDefault="006C03EF" w:rsidP="006C03EF">
            <w:pPr>
              <w:jc w:val="center"/>
              <w:rPr>
                <w:rFonts w:eastAsia="Times New Roman"/>
                <w:b/>
                <w:bCs/>
                <w:color w:val="FFFFFF"/>
              </w:rPr>
            </w:pPr>
            <w:r w:rsidRPr="00232EBB">
              <w:rPr>
                <w:rFonts w:eastAsia="Times New Roman"/>
                <w:b/>
                <w:bCs/>
                <w:color w:val="FFFFFF"/>
              </w:rPr>
              <w:t>MES GENERACIÓN NPA</w:t>
            </w:r>
          </w:p>
        </w:tc>
        <w:tc>
          <w:tcPr>
            <w:tcW w:w="1952" w:type="dxa"/>
            <w:shd w:val="clear" w:color="auto" w:fill="1F3864" w:themeFill="accent1" w:themeFillShade="80"/>
            <w:noWrap/>
            <w:hideMark/>
          </w:tcPr>
          <w:p w14:paraId="4EC12327" w14:textId="77777777" w:rsidR="006C03EF" w:rsidRPr="00232EBB" w:rsidRDefault="006C03EF" w:rsidP="006C03EF">
            <w:pPr>
              <w:jc w:val="center"/>
              <w:rPr>
                <w:rFonts w:eastAsia="Times New Roman"/>
                <w:b/>
                <w:bCs/>
                <w:color w:val="FFFFFF"/>
                <w:lang w:val="es-DO"/>
              </w:rPr>
            </w:pPr>
            <w:r w:rsidRPr="00232EBB">
              <w:rPr>
                <w:rFonts w:eastAsia="Times New Roman"/>
                <w:b/>
                <w:bCs/>
                <w:color w:val="FFFFFF"/>
                <w:lang w:val="es-DO"/>
              </w:rPr>
              <w:t>Pagada</w:t>
            </w:r>
          </w:p>
        </w:tc>
        <w:tc>
          <w:tcPr>
            <w:tcW w:w="1856" w:type="dxa"/>
            <w:shd w:val="clear" w:color="auto" w:fill="1F3864" w:themeFill="accent1" w:themeFillShade="80"/>
            <w:noWrap/>
            <w:hideMark/>
          </w:tcPr>
          <w:p w14:paraId="626E73DF" w14:textId="77777777" w:rsidR="006C03EF" w:rsidRPr="00232EBB" w:rsidRDefault="006C03EF" w:rsidP="006C03EF">
            <w:pPr>
              <w:jc w:val="center"/>
              <w:rPr>
                <w:rFonts w:eastAsia="Times New Roman"/>
                <w:b/>
                <w:bCs/>
                <w:color w:val="FFFFFF"/>
                <w:lang w:val="es-DO"/>
              </w:rPr>
            </w:pPr>
            <w:r w:rsidRPr="00232EBB">
              <w:rPr>
                <w:rFonts w:eastAsia="Times New Roman"/>
                <w:b/>
                <w:bCs/>
                <w:color w:val="FFFFFF"/>
                <w:lang w:val="es-DO"/>
              </w:rPr>
              <w:t>Vencida</w:t>
            </w:r>
          </w:p>
        </w:tc>
        <w:tc>
          <w:tcPr>
            <w:tcW w:w="1856" w:type="dxa"/>
            <w:shd w:val="clear" w:color="auto" w:fill="1F3864" w:themeFill="accent1" w:themeFillShade="80"/>
            <w:noWrap/>
            <w:hideMark/>
          </w:tcPr>
          <w:p w14:paraId="426010A5" w14:textId="77777777" w:rsidR="006C03EF" w:rsidRPr="00232EBB" w:rsidRDefault="006C03EF" w:rsidP="006C03EF">
            <w:pPr>
              <w:jc w:val="center"/>
              <w:rPr>
                <w:rFonts w:eastAsia="Times New Roman"/>
                <w:b/>
                <w:bCs/>
                <w:color w:val="FFFFFF"/>
              </w:rPr>
            </w:pPr>
            <w:r w:rsidRPr="00232EBB">
              <w:rPr>
                <w:rFonts w:eastAsia="Times New Roman"/>
                <w:b/>
                <w:bCs/>
                <w:color w:val="FFFFFF"/>
              </w:rPr>
              <w:t>Monto Total</w:t>
            </w:r>
          </w:p>
        </w:tc>
      </w:tr>
      <w:tr w:rsidR="006C03EF" w:rsidRPr="00232EBB" w14:paraId="5993AAB2" w14:textId="77777777" w:rsidTr="00A136A6">
        <w:trPr>
          <w:trHeight w:val="327"/>
        </w:trPr>
        <w:tc>
          <w:tcPr>
            <w:tcW w:w="2070" w:type="dxa"/>
            <w:noWrap/>
            <w:hideMark/>
          </w:tcPr>
          <w:p w14:paraId="073E460B" w14:textId="77777777" w:rsidR="006C03EF" w:rsidRPr="00232EBB" w:rsidRDefault="006C03EF" w:rsidP="006C03EF">
            <w:pPr>
              <w:jc w:val="center"/>
              <w:rPr>
                <w:noProof/>
              </w:rPr>
            </w:pPr>
            <w:r w:rsidRPr="00232EBB">
              <w:rPr>
                <w:noProof/>
              </w:rPr>
              <w:t>Enero</w:t>
            </w:r>
          </w:p>
        </w:tc>
        <w:tc>
          <w:tcPr>
            <w:tcW w:w="1952" w:type="dxa"/>
            <w:noWrap/>
          </w:tcPr>
          <w:p w14:paraId="7B11D3E8" w14:textId="0EBB82F9" w:rsidR="006C03EF" w:rsidRPr="00232EBB" w:rsidRDefault="00A136A6" w:rsidP="006C03EF">
            <w:pPr>
              <w:jc w:val="center"/>
              <w:rPr>
                <w:noProof/>
              </w:rPr>
            </w:pPr>
            <w:r>
              <w:rPr>
                <w:noProof/>
              </w:rPr>
              <w:t>1,955,618.43</w:t>
            </w:r>
          </w:p>
        </w:tc>
        <w:tc>
          <w:tcPr>
            <w:tcW w:w="1856" w:type="dxa"/>
            <w:noWrap/>
          </w:tcPr>
          <w:p w14:paraId="75FB6928" w14:textId="5AF1A42E" w:rsidR="006C03EF" w:rsidRPr="00232EBB" w:rsidRDefault="00A136A6" w:rsidP="006C03EF">
            <w:pPr>
              <w:jc w:val="center"/>
              <w:rPr>
                <w:noProof/>
              </w:rPr>
            </w:pPr>
            <w:r w:rsidRPr="00A136A6">
              <w:rPr>
                <w:noProof/>
              </w:rPr>
              <w:t>596,816.91</w:t>
            </w:r>
          </w:p>
        </w:tc>
        <w:tc>
          <w:tcPr>
            <w:tcW w:w="1856" w:type="dxa"/>
            <w:noWrap/>
          </w:tcPr>
          <w:p w14:paraId="48FE29BA" w14:textId="09702E71" w:rsidR="006C03EF" w:rsidRPr="00232EBB" w:rsidRDefault="00A136A6" w:rsidP="006C03EF">
            <w:pPr>
              <w:jc w:val="center"/>
              <w:rPr>
                <w:noProof/>
              </w:rPr>
            </w:pPr>
            <w:r w:rsidRPr="00A136A6">
              <w:rPr>
                <w:noProof/>
              </w:rPr>
              <w:t>2,552,435.34</w:t>
            </w:r>
          </w:p>
        </w:tc>
      </w:tr>
      <w:tr w:rsidR="006C03EF" w:rsidRPr="00232EBB" w14:paraId="693B94DE" w14:textId="77777777" w:rsidTr="00A136A6">
        <w:trPr>
          <w:trHeight w:val="313"/>
        </w:trPr>
        <w:tc>
          <w:tcPr>
            <w:tcW w:w="2070" w:type="dxa"/>
            <w:noWrap/>
            <w:hideMark/>
          </w:tcPr>
          <w:p w14:paraId="11085E9C" w14:textId="77777777" w:rsidR="006C03EF" w:rsidRPr="00232EBB" w:rsidRDefault="006C03EF" w:rsidP="006C03EF">
            <w:pPr>
              <w:jc w:val="center"/>
              <w:rPr>
                <w:noProof/>
              </w:rPr>
            </w:pPr>
            <w:r w:rsidRPr="00232EBB">
              <w:rPr>
                <w:noProof/>
              </w:rPr>
              <w:t>Febrero</w:t>
            </w:r>
          </w:p>
        </w:tc>
        <w:tc>
          <w:tcPr>
            <w:tcW w:w="1952" w:type="dxa"/>
            <w:noWrap/>
          </w:tcPr>
          <w:p w14:paraId="09224863" w14:textId="2E4976C6" w:rsidR="006C03EF" w:rsidRPr="00232EBB" w:rsidRDefault="00A136A6" w:rsidP="006C03EF">
            <w:pPr>
              <w:jc w:val="center"/>
              <w:rPr>
                <w:noProof/>
              </w:rPr>
            </w:pPr>
            <w:r w:rsidRPr="00A136A6">
              <w:rPr>
                <w:noProof/>
              </w:rPr>
              <w:t>1,243,969.58</w:t>
            </w:r>
          </w:p>
        </w:tc>
        <w:tc>
          <w:tcPr>
            <w:tcW w:w="1856" w:type="dxa"/>
            <w:noWrap/>
          </w:tcPr>
          <w:p w14:paraId="033FBCE9" w14:textId="04E085C6" w:rsidR="006C03EF" w:rsidRPr="00232EBB" w:rsidRDefault="00A136A6" w:rsidP="006C03EF">
            <w:pPr>
              <w:jc w:val="center"/>
              <w:rPr>
                <w:noProof/>
              </w:rPr>
            </w:pPr>
            <w:r w:rsidRPr="00A136A6">
              <w:rPr>
                <w:noProof/>
              </w:rPr>
              <w:t>523,963.75</w:t>
            </w:r>
          </w:p>
        </w:tc>
        <w:tc>
          <w:tcPr>
            <w:tcW w:w="1856" w:type="dxa"/>
            <w:noWrap/>
          </w:tcPr>
          <w:p w14:paraId="3F3ED9F0" w14:textId="7ED5B984" w:rsidR="006C03EF" w:rsidRPr="00232EBB" w:rsidRDefault="00A136A6" w:rsidP="006C03EF">
            <w:pPr>
              <w:jc w:val="center"/>
              <w:rPr>
                <w:noProof/>
              </w:rPr>
            </w:pPr>
            <w:r w:rsidRPr="00A136A6">
              <w:rPr>
                <w:noProof/>
              </w:rPr>
              <w:t>1,767,933.33</w:t>
            </w:r>
          </w:p>
        </w:tc>
      </w:tr>
      <w:tr w:rsidR="006C03EF" w:rsidRPr="00232EBB" w14:paraId="66AC3A44" w14:textId="77777777" w:rsidTr="00A136A6">
        <w:trPr>
          <w:trHeight w:val="313"/>
        </w:trPr>
        <w:tc>
          <w:tcPr>
            <w:tcW w:w="2070" w:type="dxa"/>
            <w:noWrap/>
            <w:hideMark/>
          </w:tcPr>
          <w:p w14:paraId="2DCB00D6" w14:textId="77777777" w:rsidR="006C03EF" w:rsidRPr="00232EBB" w:rsidRDefault="006C03EF" w:rsidP="006C03EF">
            <w:pPr>
              <w:jc w:val="center"/>
              <w:rPr>
                <w:noProof/>
              </w:rPr>
            </w:pPr>
            <w:r w:rsidRPr="00232EBB">
              <w:rPr>
                <w:noProof/>
              </w:rPr>
              <w:t>Marzo</w:t>
            </w:r>
          </w:p>
        </w:tc>
        <w:tc>
          <w:tcPr>
            <w:tcW w:w="1952" w:type="dxa"/>
            <w:noWrap/>
          </w:tcPr>
          <w:p w14:paraId="5FEBD2B4" w14:textId="634FAD5A" w:rsidR="006C03EF" w:rsidRPr="00232EBB" w:rsidRDefault="00A136A6" w:rsidP="006C03EF">
            <w:pPr>
              <w:jc w:val="center"/>
              <w:rPr>
                <w:noProof/>
              </w:rPr>
            </w:pPr>
            <w:r w:rsidRPr="00A136A6">
              <w:rPr>
                <w:noProof/>
              </w:rPr>
              <w:t>2,971,685.11</w:t>
            </w:r>
          </w:p>
        </w:tc>
        <w:tc>
          <w:tcPr>
            <w:tcW w:w="1856" w:type="dxa"/>
            <w:noWrap/>
          </w:tcPr>
          <w:p w14:paraId="74FF2FBC" w14:textId="6518ADFE" w:rsidR="006C03EF" w:rsidRPr="00232EBB" w:rsidRDefault="00A136A6" w:rsidP="006C03EF">
            <w:pPr>
              <w:jc w:val="center"/>
              <w:rPr>
                <w:noProof/>
              </w:rPr>
            </w:pPr>
            <w:r w:rsidRPr="00A136A6">
              <w:rPr>
                <w:noProof/>
              </w:rPr>
              <w:t>2,235,012.16</w:t>
            </w:r>
          </w:p>
        </w:tc>
        <w:tc>
          <w:tcPr>
            <w:tcW w:w="1856" w:type="dxa"/>
            <w:noWrap/>
          </w:tcPr>
          <w:p w14:paraId="7CD73229" w14:textId="3922B16C" w:rsidR="006C03EF" w:rsidRPr="00232EBB" w:rsidRDefault="00A136A6" w:rsidP="006C03EF">
            <w:pPr>
              <w:jc w:val="center"/>
              <w:rPr>
                <w:noProof/>
              </w:rPr>
            </w:pPr>
            <w:r w:rsidRPr="00A136A6">
              <w:rPr>
                <w:noProof/>
              </w:rPr>
              <w:t>5,206,697.27</w:t>
            </w:r>
          </w:p>
        </w:tc>
      </w:tr>
      <w:tr w:rsidR="006C03EF" w:rsidRPr="00232EBB" w14:paraId="7889BA86" w14:textId="77777777" w:rsidTr="00A136A6">
        <w:trPr>
          <w:trHeight w:val="313"/>
        </w:trPr>
        <w:tc>
          <w:tcPr>
            <w:tcW w:w="2070" w:type="dxa"/>
            <w:noWrap/>
            <w:hideMark/>
          </w:tcPr>
          <w:p w14:paraId="784427C7" w14:textId="77777777" w:rsidR="006C03EF" w:rsidRPr="00232EBB" w:rsidRDefault="006C03EF" w:rsidP="006C03EF">
            <w:pPr>
              <w:jc w:val="center"/>
              <w:rPr>
                <w:noProof/>
              </w:rPr>
            </w:pPr>
            <w:r w:rsidRPr="00232EBB">
              <w:rPr>
                <w:noProof/>
              </w:rPr>
              <w:t>Abril</w:t>
            </w:r>
          </w:p>
        </w:tc>
        <w:tc>
          <w:tcPr>
            <w:tcW w:w="1952" w:type="dxa"/>
            <w:noWrap/>
          </w:tcPr>
          <w:p w14:paraId="69B6FEC4" w14:textId="4191CE72" w:rsidR="006C03EF" w:rsidRPr="00232EBB" w:rsidRDefault="00A136A6" w:rsidP="006C03EF">
            <w:pPr>
              <w:jc w:val="center"/>
              <w:rPr>
                <w:noProof/>
              </w:rPr>
            </w:pPr>
            <w:r w:rsidRPr="00A136A6">
              <w:rPr>
                <w:noProof/>
              </w:rPr>
              <w:t>2,316,503.65</w:t>
            </w:r>
          </w:p>
        </w:tc>
        <w:tc>
          <w:tcPr>
            <w:tcW w:w="1856" w:type="dxa"/>
            <w:noWrap/>
          </w:tcPr>
          <w:p w14:paraId="2C58A09D" w14:textId="69FCBEF7" w:rsidR="006C03EF" w:rsidRPr="00232EBB" w:rsidRDefault="00A136A6" w:rsidP="006C03EF">
            <w:pPr>
              <w:jc w:val="center"/>
              <w:rPr>
                <w:noProof/>
              </w:rPr>
            </w:pPr>
            <w:r w:rsidRPr="00A136A6">
              <w:rPr>
                <w:noProof/>
              </w:rPr>
              <w:t>11,601,961.39</w:t>
            </w:r>
          </w:p>
        </w:tc>
        <w:tc>
          <w:tcPr>
            <w:tcW w:w="1856" w:type="dxa"/>
            <w:noWrap/>
          </w:tcPr>
          <w:p w14:paraId="5F1660BA" w14:textId="32B369C9" w:rsidR="006C03EF" w:rsidRPr="00232EBB" w:rsidRDefault="00A136A6" w:rsidP="006C03EF">
            <w:pPr>
              <w:jc w:val="center"/>
              <w:rPr>
                <w:noProof/>
              </w:rPr>
            </w:pPr>
            <w:r w:rsidRPr="00A136A6">
              <w:rPr>
                <w:noProof/>
              </w:rPr>
              <w:t>13,918,465.04</w:t>
            </w:r>
          </w:p>
        </w:tc>
      </w:tr>
      <w:tr w:rsidR="006C03EF" w:rsidRPr="00232EBB" w14:paraId="705B5B99" w14:textId="77777777" w:rsidTr="00A136A6">
        <w:trPr>
          <w:trHeight w:val="313"/>
        </w:trPr>
        <w:tc>
          <w:tcPr>
            <w:tcW w:w="2070" w:type="dxa"/>
            <w:noWrap/>
            <w:hideMark/>
          </w:tcPr>
          <w:p w14:paraId="56C5A9A7" w14:textId="77777777" w:rsidR="006C03EF" w:rsidRPr="00232EBB" w:rsidRDefault="006C03EF" w:rsidP="006C03EF">
            <w:pPr>
              <w:jc w:val="center"/>
              <w:rPr>
                <w:noProof/>
              </w:rPr>
            </w:pPr>
            <w:r w:rsidRPr="00232EBB">
              <w:rPr>
                <w:noProof/>
              </w:rPr>
              <w:t>Mayo</w:t>
            </w:r>
          </w:p>
        </w:tc>
        <w:tc>
          <w:tcPr>
            <w:tcW w:w="1952" w:type="dxa"/>
            <w:noWrap/>
          </w:tcPr>
          <w:p w14:paraId="780A58FC" w14:textId="62300687" w:rsidR="006C03EF" w:rsidRPr="00232EBB" w:rsidRDefault="00A136A6" w:rsidP="006C03EF">
            <w:pPr>
              <w:jc w:val="center"/>
              <w:rPr>
                <w:noProof/>
              </w:rPr>
            </w:pPr>
            <w:r w:rsidRPr="00A136A6">
              <w:rPr>
                <w:noProof/>
              </w:rPr>
              <w:t>1,178,587.25</w:t>
            </w:r>
          </w:p>
        </w:tc>
        <w:tc>
          <w:tcPr>
            <w:tcW w:w="1856" w:type="dxa"/>
            <w:noWrap/>
          </w:tcPr>
          <w:p w14:paraId="4004BC46" w14:textId="5F2D4C9C" w:rsidR="006C03EF" w:rsidRPr="00232EBB" w:rsidRDefault="00A136A6" w:rsidP="006C03EF">
            <w:pPr>
              <w:jc w:val="center"/>
              <w:rPr>
                <w:noProof/>
              </w:rPr>
            </w:pPr>
            <w:r w:rsidRPr="00A136A6">
              <w:rPr>
                <w:noProof/>
              </w:rPr>
              <w:t>1,222,892.02</w:t>
            </w:r>
          </w:p>
        </w:tc>
        <w:tc>
          <w:tcPr>
            <w:tcW w:w="1856" w:type="dxa"/>
            <w:noWrap/>
          </w:tcPr>
          <w:p w14:paraId="10B7A5AB" w14:textId="5B857CF6" w:rsidR="006C03EF" w:rsidRPr="00232EBB" w:rsidRDefault="00A136A6" w:rsidP="006C03EF">
            <w:pPr>
              <w:jc w:val="center"/>
              <w:rPr>
                <w:noProof/>
              </w:rPr>
            </w:pPr>
            <w:r w:rsidRPr="00A136A6">
              <w:rPr>
                <w:noProof/>
              </w:rPr>
              <w:t>2,401,479.27</w:t>
            </w:r>
          </w:p>
        </w:tc>
      </w:tr>
      <w:tr w:rsidR="006C03EF" w:rsidRPr="00232EBB" w14:paraId="256DC906" w14:textId="77777777" w:rsidTr="00A136A6">
        <w:trPr>
          <w:trHeight w:val="313"/>
        </w:trPr>
        <w:tc>
          <w:tcPr>
            <w:tcW w:w="2070" w:type="dxa"/>
            <w:noWrap/>
            <w:hideMark/>
          </w:tcPr>
          <w:p w14:paraId="7BD5EB8C" w14:textId="77777777" w:rsidR="006C03EF" w:rsidRPr="00232EBB" w:rsidRDefault="006C03EF" w:rsidP="006C03EF">
            <w:pPr>
              <w:jc w:val="center"/>
              <w:rPr>
                <w:noProof/>
              </w:rPr>
            </w:pPr>
            <w:r w:rsidRPr="00232EBB">
              <w:rPr>
                <w:noProof/>
              </w:rPr>
              <w:t>Junio</w:t>
            </w:r>
          </w:p>
        </w:tc>
        <w:tc>
          <w:tcPr>
            <w:tcW w:w="1952" w:type="dxa"/>
            <w:noWrap/>
          </w:tcPr>
          <w:p w14:paraId="58BA5A83" w14:textId="4111E713" w:rsidR="006C03EF" w:rsidRPr="00232EBB" w:rsidRDefault="00A136A6" w:rsidP="006C03EF">
            <w:pPr>
              <w:jc w:val="center"/>
              <w:rPr>
                <w:noProof/>
              </w:rPr>
            </w:pPr>
            <w:r w:rsidRPr="00A136A6">
              <w:rPr>
                <w:noProof/>
              </w:rPr>
              <w:t>1,317,402.17</w:t>
            </w:r>
          </w:p>
        </w:tc>
        <w:tc>
          <w:tcPr>
            <w:tcW w:w="1856" w:type="dxa"/>
            <w:noWrap/>
          </w:tcPr>
          <w:p w14:paraId="002F28CA" w14:textId="19E20936" w:rsidR="006C03EF" w:rsidRPr="00232EBB" w:rsidRDefault="00A136A6" w:rsidP="006C03EF">
            <w:pPr>
              <w:jc w:val="center"/>
              <w:rPr>
                <w:noProof/>
              </w:rPr>
            </w:pPr>
            <w:r w:rsidRPr="00A136A6">
              <w:rPr>
                <w:noProof/>
              </w:rPr>
              <w:t>2,411,936.68</w:t>
            </w:r>
          </w:p>
        </w:tc>
        <w:tc>
          <w:tcPr>
            <w:tcW w:w="1856" w:type="dxa"/>
            <w:noWrap/>
          </w:tcPr>
          <w:p w14:paraId="2C3C6EA7" w14:textId="5F07B9D5" w:rsidR="006C03EF" w:rsidRPr="00232EBB" w:rsidRDefault="00A136A6" w:rsidP="006C03EF">
            <w:pPr>
              <w:jc w:val="center"/>
              <w:rPr>
                <w:noProof/>
              </w:rPr>
            </w:pPr>
            <w:r w:rsidRPr="00A136A6">
              <w:rPr>
                <w:noProof/>
              </w:rPr>
              <w:t>3,729,338.85</w:t>
            </w:r>
          </w:p>
        </w:tc>
      </w:tr>
      <w:tr w:rsidR="006C03EF" w:rsidRPr="00232EBB" w14:paraId="7AEFE8EE" w14:textId="77777777" w:rsidTr="00A136A6">
        <w:trPr>
          <w:trHeight w:val="313"/>
        </w:trPr>
        <w:tc>
          <w:tcPr>
            <w:tcW w:w="2070" w:type="dxa"/>
            <w:noWrap/>
            <w:hideMark/>
          </w:tcPr>
          <w:p w14:paraId="7FC5B08F" w14:textId="77777777" w:rsidR="006C03EF" w:rsidRPr="00232EBB" w:rsidRDefault="006C03EF" w:rsidP="006C03EF">
            <w:pPr>
              <w:jc w:val="center"/>
              <w:rPr>
                <w:noProof/>
              </w:rPr>
            </w:pPr>
            <w:r w:rsidRPr="00232EBB">
              <w:rPr>
                <w:noProof/>
              </w:rPr>
              <w:t>Julio</w:t>
            </w:r>
          </w:p>
        </w:tc>
        <w:tc>
          <w:tcPr>
            <w:tcW w:w="1952" w:type="dxa"/>
            <w:noWrap/>
          </w:tcPr>
          <w:p w14:paraId="5E1365CB" w14:textId="6797BB44" w:rsidR="006C03EF" w:rsidRPr="00232EBB" w:rsidRDefault="00A136A6" w:rsidP="006C03EF">
            <w:pPr>
              <w:jc w:val="center"/>
              <w:rPr>
                <w:noProof/>
              </w:rPr>
            </w:pPr>
            <w:r w:rsidRPr="00A136A6">
              <w:rPr>
                <w:noProof/>
              </w:rPr>
              <w:t>4,685,178.29</w:t>
            </w:r>
          </w:p>
        </w:tc>
        <w:tc>
          <w:tcPr>
            <w:tcW w:w="1856" w:type="dxa"/>
            <w:noWrap/>
          </w:tcPr>
          <w:p w14:paraId="293502BA" w14:textId="14750AD1" w:rsidR="006C03EF" w:rsidRPr="00232EBB" w:rsidRDefault="00A136A6" w:rsidP="006C03EF">
            <w:pPr>
              <w:jc w:val="center"/>
              <w:rPr>
                <w:noProof/>
              </w:rPr>
            </w:pPr>
            <w:r w:rsidRPr="00A136A6">
              <w:rPr>
                <w:noProof/>
              </w:rPr>
              <w:t>1,304,054.69</w:t>
            </w:r>
          </w:p>
        </w:tc>
        <w:tc>
          <w:tcPr>
            <w:tcW w:w="1856" w:type="dxa"/>
            <w:noWrap/>
          </w:tcPr>
          <w:p w14:paraId="71B65536" w14:textId="54CE4BC2" w:rsidR="006C03EF" w:rsidRPr="00232EBB" w:rsidRDefault="00A136A6" w:rsidP="006C03EF">
            <w:pPr>
              <w:jc w:val="center"/>
              <w:rPr>
                <w:noProof/>
              </w:rPr>
            </w:pPr>
            <w:r w:rsidRPr="00A136A6">
              <w:rPr>
                <w:noProof/>
              </w:rPr>
              <w:t>5,989,232.98</w:t>
            </w:r>
          </w:p>
        </w:tc>
      </w:tr>
      <w:tr w:rsidR="006C03EF" w:rsidRPr="00232EBB" w14:paraId="6E3F0690" w14:textId="77777777" w:rsidTr="00A136A6">
        <w:trPr>
          <w:trHeight w:val="313"/>
        </w:trPr>
        <w:tc>
          <w:tcPr>
            <w:tcW w:w="2070" w:type="dxa"/>
            <w:noWrap/>
            <w:hideMark/>
          </w:tcPr>
          <w:p w14:paraId="60C7FD74" w14:textId="77777777" w:rsidR="006C03EF" w:rsidRPr="00232EBB" w:rsidRDefault="006C03EF" w:rsidP="006C03EF">
            <w:pPr>
              <w:jc w:val="center"/>
              <w:rPr>
                <w:noProof/>
              </w:rPr>
            </w:pPr>
            <w:r w:rsidRPr="00232EBB">
              <w:rPr>
                <w:noProof/>
              </w:rPr>
              <w:t>Agosto</w:t>
            </w:r>
          </w:p>
        </w:tc>
        <w:tc>
          <w:tcPr>
            <w:tcW w:w="1952" w:type="dxa"/>
            <w:noWrap/>
          </w:tcPr>
          <w:p w14:paraId="735322E1" w14:textId="1C2819E8" w:rsidR="006C03EF" w:rsidRPr="00232EBB" w:rsidRDefault="00A136A6" w:rsidP="006C03EF">
            <w:pPr>
              <w:jc w:val="center"/>
              <w:rPr>
                <w:noProof/>
              </w:rPr>
            </w:pPr>
            <w:r w:rsidRPr="00A136A6">
              <w:rPr>
                <w:noProof/>
              </w:rPr>
              <w:t>1,196,061.13</w:t>
            </w:r>
          </w:p>
        </w:tc>
        <w:tc>
          <w:tcPr>
            <w:tcW w:w="1856" w:type="dxa"/>
            <w:noWrap/>
          </w:tcPr>
          <w:p w14:paraId="576E067A" w14:textId="4EAF857F" w:rsidR="006C03EF" w:rsidRPr="00232EBB" w:rsidRDefault="00A136A6" w:rsidP="006C03EF">
            <w:pPr>
              <w:jc w:val="center"/>
              <w:rPr>
                <w:noProof/>
              </w:rPr>
            </w:pPr>
            <w:r w:rsidRPr="00A136A6">
              <w:rPr>
                <w:noProof/>
              </w:rPr>
              <w:t>1,281,227.03</w:t>
            </w:r>
          </w:p>
        </w:tc>
        <w:tc>
          <w:tcPr>
            <w:tcW w:w="1856" w:type="dxa"/>
            <w:noWrap/>
          </w:tcPr>
          <w:p w14:paraId="32FB5029" w14:textId="40561192" w:rsidR="006C03EF" w:rsidRPr="00232EBB" w:rsidRDefault="00A136A6" w:rsidP="006C03EF">
            <w:pPr>
              <w:jc w:val="center"/>
              <w:rPr>
                <w:noProof/>
              </w:rPr>
            </w:pPr>
            <w:r w:rsidRPr="00A136A6">
              <w:rPr>
                <w:noProof/>
              </w:rPr>
              <w:t>2,477,288.16</w:t>
            </w:r>
          </w:p>
        </w:tc>
      </w:tr>
      <w:tr w:rsidR="006C03EF" w:rsidRPr="00232EBB" w14:paraId="2F8AF4C0" w14:textId="77777777" w:rsidTr="00A136A6">
        <w:trPr>
          <w:trHeight w:val="313"/>
        </w:trPr>
        <w:tc>
          <w:tcPr>
            <w:tcW w:w="2070" w:type="dxa"/>
            <w:noWrap/>
            <w:hideMark/>
          </w:tcPr>
          <w:p w14:paraId="02EBC212" w14:textId="77777777" w:rsidR="006C03EF" w:rsidRPr="00232EBB" w:rsidRDefault="006C03EF" w:rsidP="006C03EF">
            <w:pPr>
              <w:jc w:val="center"/>
              <w:rPr>
                <w:noProof/>
              </w:rPr>
            </w:pPr>
            <w:r w:rsidRPr="00232EBB">
              <w:rPr>
                <w:noProof/>
              </w:rPr>
              <w:t>Septiembre</w:t>
            </w:r>
          </w:p>
        </w:tc>
        <w:tc>
          <w:tcPr>
            <w:tcW w:w="1952" w:type="dxa"/>
            <w:noWrap/>
          </w:tcPr>
          <w:p w14:paraId="2980D47A" w14:textId="3381C128" w:rsidR="006C03EF" w:rsidRPr="00232EBB" w:rsidRDefault="00A136A6" w:rsidP="006C03EF">
            <w:pPr>
              <w:jc w:val="center"/>
              <w:rPr>
                <w:noProof/>
              </w:rPr>
            </w:pPr>
            <w:r w:rsidRPr="00A136A6">
              <w:rPr>
                <w:noProof/>
              </w:rPr>
              <w:t>4,733,295.75</w:t>
            </w:r>
          </w:p>
        </w:tc>
        <w:tc>
          <w:tcPr>
            <w:tcW w:w="1856" w:type="dxa"/>
            <w:noWrap/>
          </w:tcPr>
          <w:p w14:paraId="4E641F0B" w14:textId="238888E5" w:rsidR="006C03EF" w:rsidRPr="00232EBB" w:rsidRDefault="00A136A6" w:rsidP="006C03EF">
            <w:pPr>
              <w:jc w:val="center"/>
              <w:rPr>
                <w:noProof/>
              </w:rPr>
            </w:pPr>
            <w:r w:rsidRPr="00A136A6">
              <w:rPr>
                <w:noProof/>
              </w:rPr>
              <w:t>2,125,171.54</w:t>
            </w:r>
          </w:p>
        </w:tc>
        <w:tc>
          <w:tcPr>
            <w:tcW w:w="1856" w:type="dxa"/>
            <w:noWrap/>
          </w:tcPr>
          <w:p w14:paraId="7207C7DA" w14:textId="6A4AA71F" w:rsidR="006C03EF" w:rsidRPr="00232EBB" w:rsidRDefault="00A136A6" w:rsidP="006C03EF">
            <w:pPr>
              <w:jc w:val="center"/>
              <w:rPr>
                <w:noProof/>
              </w:rPr>
            </w:pPr>
            <w:r w:rsidRPr="00A136A6">
              <w:rPr>
                <w:noProof/>
              </w:rPr>
              <w:t>6,858,467.29</w:t>
            </w:r>
          </w:p>
        </w:tc>
      </w:tr>
      <w:tr w:rsidR="006C03EF" w:rsidRPr="00232EBB" w14:paraId="1CD94CFA" w14:textId="77777777" w:rsidTr="00A136A6">
        <w:trPr>
          <w:trHeight w:val="313"/>
        </w:trPr>
        <w:tc>
          <w:tcPr>
            <w:tcW w:w="2070" w:type="dxa"/>
            <w:noWrap/>
            <w:hideMark/>
          </w:tcPr>
          <w:p w14:paraId="00DC3BA7" w14:textId="77777777" w:rsidR="006C03EF" w:rsidRPr="00232EBB" w:rsidRDefault="006C03EF" w:rsidP="006C03EF">
            <w:pPr>
              <w:jc w:val="center"/>
              <w:rPr>
                <w:noProof/>
              </w:rPr>
            </w:pPr>
            <w:r w:rsidRPr="00232EBB">
              <w:rPr>
                <w:noProof/>
              </w:rPr>
              <w:t>Octubre</w:t>
            </w:r>
          </w:p>
        </w:tc>
        <w:tc>
          <w:tcPr>
            <w:tcW w:w="1952" w:type="dxa"/>
            <w:noWrap/>
          </w:tcPr>
          <w:p w14:paraId="1BE9173D" w14:textId="73756086" w:rsidR="006C03EF" w:rsidRPr="00232EBB" w:rsidRDefault="00A136A6" w:rsidP="006C03EF">
            <w:pPr>
              <w:jc w:val="center"/>
              <w:rPr>
                <w:noProof/>
              </w:rPr>
            </w:pPr>
            <w:r w:rsidRPr="00A136A6">
              <w:rPr>
                <w:noProof/>
              </w:rPr>
              <w:t>1,655,823.27</w:t>
            </w:r>
          </w:p>
        </w:tc>
        <w:tc>
          <w:tcPr>
            <w:tcW w:w="1856" w:type="dxa"/>
            <w:noWrap/>
          </w:tcPr>
          <w:p w14:paraId="582D4106" w14:textId="085906C6" w:rsidR="006C03EF" w:rsidRPr="00232EBB" w:rsidRDefault="00A136A6" w:rsidP="006C03EF">
            <w:pPr>
              <w:jc w:val="center"/>
              <w:rPr>
                <w:noProof/>
              </w:rPr>
            </w:pPr>
            <w:r w:rsidRPr="00A136A6">
              <w:rPr>
                <w:noProof/>
              </w:rPr>
              <w:t>7,206,365.16</w:t>
            </w:r>
          </w:p>
        </w:tc>
        <w:tc>
          <w:tcPr>
            <w:tcW w:w="1856" w:type="dxa"/>
            <w:noWrap/>
          </w:tcPr>
          <w:p w14:paraId="5B245B8E" w14:textId="249321FA" w:rsidR="006C03EF" w:rsidRPr="00232EBB" w:rsidRDefault="00A136A6" w:rsidP="006C03EF">
            <w:pPr>
              <w:jc w:val="center"/>
              <w:rPr>
                <w:noProof/>
              </w:rPr>
            </w:pPr>
            <w:r w:rsidRPr="00A136A6">
              <w:rPr>
                <w:noProof/>
              </w:rPr>
              <w:t>8,862,188.43</w:t>
            </w:r>
          </w:p>
        </w:tc>
      </w:tr>
      <w:tr w:rsidR="006C03EF" w:rsidRPr="00232EBB" w14:paraId="69456945" w14:textId="77777777" w:rsidTr="00A136A6">
        <w:trPr>
          <w:trHeight w:val="313"/>
        </w:trPr>
        <w:tc>
          <w:tcPr>
            <w:tcW w:w="2070" w:type="dxa"/>
            <w:noWrap/>
            <w:hideMark/>
          </w:tcPr>
          <w:p w14:paraId="576AC5FF" w14:textId="77777777" w:rsidR="006C03EF" w:rsidRPr="00232EBB" w:rsidRDefault="006C03EF" w:rsidP="006C03EF">
            <w:pPr>
              <w:jc w:val="center"/>
              <w:rPr>
                <w:noProof/>
              </w:rPr>
            </w:pPr>
            <w:r w:rsidRPr="00232EBB">
              <w:rPr>
                <w:noProof/>
              </w:rPr>
              <w:t>Noviembre</w:t>
            </w:r>
          </w:p>
        </w:tc>
        <w:tc>
          <w:tcPr>
            <w:tcW w:w="1952" w:type="dxa"/>
            <w:noWrap/>
          </w:tcPr>
          <w:p w14:paraId="363AA3CD" w14:textId="0FC3C9D0" w:rsidR="006C03EF" w:rsidRPr="00232EBB" w:rsidRDefault="00A136A6" w:rsidP="006C03EF">
            <w:pPr>
              <w:jc w:val="center"/>
              <w:rPr>
                <w:noProof/>
              </w:rPr>
            </w:pPr>
            <w:r w:rsidRPr="00A136A6">
              <w:rPr>
                <w:noProof/>
              </w:rPr>
              <w:t>2,965,909.24</w:t>
            </w:r>
          </w:p>
        </w:tc>
        <w:tc>
          <w:tcPr>
            <w:tcW w:w="1856" w:type="dxa"/>
            <w:noWrap/>
          </w:tcPr>
          <w:p w14:paraId="02AAB2FD" w14:textId="3EA7526A" w:rsidR="006C03EF" w:rsidRPr="00232EBB" w:rsidRDefault="00A136A6" w:rsidP="006C03EF">
            <w:pPr>
              <w:jc w:val="center"/>
              <w:rPr>
                <w:noProof/>
              </w:rPr>
            </w:pPr>
            <w:r w:rsidRPr="00A136A6">
              <w:rPr>
                <w:noProof/>
              </w:rPr>
              <w:t>524,443.20</w:t>
            </w:r>
          </w:p>
        </w:tc>
        <w:tc>
          <w:tcPr>
            <w:tcW w:w="1856" w:type="dxa"/>
            <w:noWrap/>
          </w:tcPr>
          <w:p w14:paraId="69A13A45" w14:textId="738AE29F" w:rsidR="006C03EF" w:rsidRPr="00232EBB" w:rsidRDefault="00A136A6" w:rsidP="006C03EF">
            <w:pPr>
              <w:jc w:val="center"/>
              <w:rPr>
                <w:noProof/>
              </w:rPr>
            </w:pPr>
            <w:r w:rsidRPr="00A136A6">
              <w:rPr>
                <w:noProof/>
              </w:rPr>
              <w:t>3,490,352.44</w:t>
            </w:r>
          </w:p>
        </w:tc>
      </w:tr>
      <w:tr w:rsidR="00A136A6" w:rsidRPr="00232EBB" w14:paraId="4CAD3701" w14:textId="77777777" w:rsidTr="00A136A6">
        <w:trPr>
          <w:trHeight w:val="313"/>
        </w:trPr>
        <w:tc>
          <w:tcPr>
            <w:tcW w:w="2070" w:type="dxa"/>
            <w:noWrap/>
          </w:tcPr>
          <w:p w14:paraId="264BB55C" w14:textId="68A309B9" w:rsidR="00A136A6" w:rsidRPr="00232EBB" w:rsidRDefault="00A136A6" w:rsidP="006C03EF">
            <w:pPr>
              <w:jc w:val="center"/>
              <w:rPr>
                <w:noProof/>
              </w:rPr>
            </w:pPr>
            <w:r>
              <w:rPr>
                <w:noProof/>
              </w:rPr>
              <w:t>Diciembre</w:t>
            </w:r>
          </w:p>
        </w:tc>
        <w:tc>
          <w:tcPr>
            <w:tcW w:w="1952" w:type="dxa"/>
            <w:noWrap/>
          </w:tcPr>
          <w:p w14:paraId="41795281" w14:textId="2658A0A1" w:rsidR="00A136A6" w:rsidRPr="00232EBB" w:rsidRDefault="00A136A6" w:rsidP="006C03EF">
            <w:pPr>
              <w:jc w:val="center"/>
              <w:rPr>
                <w:noProof/>
              </w:rPr>
            </w:pPr>
            <w:r w:rsidRPr="00A136A6">
              <w:rPr>
                <w:noProof/>
              </w:rPr>
              <w:t>607,881.00</w:t>
            </w:r>
          </w:p>
        </w:tc>
        <w:tc>
          <w:tcPr>
            <w:tcW w:w="1856" w:type="dxa"/>
            <w:noWrap/>
          </w:tcPr>
          <w:p w14:paraId="665EFA29" w14:textId="58C801C5" w:rsidR="00A136A6" w:rsidRPr="00232EBB" w:rsidRDefault="00A136A6" w:rsidP="006C03EF">
            <w:pPr>
              <w:jc w:val="center"/>
              <w:rPr>
                <w:noProof/>
              </w:rPr>
            </w:pPr>
            <w:r w:rsidRPr="00A136A6">
              <w:rPr>
                <w:noProof/>
              </w:rPr>
              <w:t>1,866,449.22</w:t>
            </w:r>
          </w:p>
        </w:tc>
        <w:tc>
          <w:tcPr>
            <w:tcW w:w="1856" w:type="dxa"/>
            <w:noWrap/>
          </w:tcPr>
          <w:p w14:paraId="64AFF093" w14:textId="0606979B" w:rsidR="00A136A6" w:rsidRPr="00232EBB" w:rsidRDefault="00A136A6" w:rsidP="006C03EF">
            <w:pPr>
              <w:jc w:val="center"/>
              <w:rPr>
                <w:noProof/>
              </w:rPr>
            </w:pPr>
            <w:r w:rsidRPr="00A136A6">
              <w:rPr>
                <w:noProof/>
              </w:rPr>
              <w:t>2,474,330.22</w:t>
            </w:r>
          </w:p>
        </w:tc>
      </w:tr>
      <w:tr w:rsidR="006C03EF" w:rsidRPr="00232EBB" w14:paraId="50B55C2A" w14:textId="77777777" w:rsidTr="00A136A6">
        <w:trPr>
          <w:trHeight w:val="313"/>
        </w:trPr>
        <w:tc>
          <w:tcPr>
            <w:tcW w:w="2070" w:type="dxa"/>
            <w:noWrap/>
            <w:hideMark/>
          </w:tcPr>
          <w:p w14:paraId="26E464BE" w14:textId="77777777" w:rsidR="006C03EF" w:rsidRPr="00232EBB" w:rsidRDefault="006C03EF" w:rsidP="006C03EF">
            <w:pPr>
              <w:jc w:val="center"/>
              <w:rPr>
                <w:b/>
                <w:bCs/>
                <w:noProof/>
              </w:rPr>
            </w:pPr>
            <w:r w:rsidRPr="00232EBB">
              <w:rPr>
                <w:b/>
                <w:bCs/>
                <w:noProof/>
              </w:rPr>
              <w:t>Total</w:t>
            </w:r>
          </w:p>
        </w:tc>
        <w:tc>
          <w:tcPr>
            <w:tcW w:w="1952" w:type="dxa"/>
            <w:noWrap/>
          </w:tcPr>
          <w:p w14:paraId="22F99D59" w14:textId="55FEDFBE" w:rsidR="006C03EF" w:rsidRPr="00232EBB" w:rsidRDefault="00A136A6" w:rsidP="006C03EF">
            <w:pPr>
              <w:jc w:val="center"/>
              <w:rPr>
                <w:b/>
                <w:bCs/>
                <w:noProof/>
              </w:rPr>
            </w:pPr>
            <w:r w:rsidRPr="00A136A6">
              <w:rPr>
                <w:b/>
                <w:bCs/>
                <w:noProof/>
              </w:rPr>
              <w:t>26,827,914.87</w:t>
            </w:r>
          </w:p>
        </w:tc>
        <w:tc>
          <w:tcPr>
            <w:tcW w:w="1856" w:type="dxa"/>
            <w:noWrap/>
          </w:tcPr>
          <w:p w14:paraId="5D162E61" w14:textId="3001F327" w:rsidR="006C03EF" w:rsidRPr="00232EBB" w:rsidRDefault="00A136A6" w:rsidP="006C03EF">
            <w:pPr>
              <w:jc w:val="center"/>
              <w:rPr>
                <w:b/>
                <w:bCs/>
                <w:noProof/>
              </w:rPr>
            </w:pPr>
            <w:r w:rsidRPr="00A136A6">
              <w:rPr>
                <w:b/>
                <w:bCs/>
                <w:noProof/>
              </w:rPr>
              <w:t>32,900,293.75</w:t>
            </w:r>
          </w:p>
        </w:tc>
        <w:tc>
          <w:tcPr>
            <w:tcW w:w="1856" w:type="dxa"/>
            <w:noWrap/>
          </w:tcPr>
          <w:p w14:paraId="36FE3148" w14:textId="7CBD3912" w:rsidR="006C03EF" w:rsidRPr="00232EBB" w:rsidRDefault="00A136A6" w:rsidP="006C03EF">
            <w:pPr>
              <w:jc w:val="center"/>
              <w:rPr>
                <w:b/>
                <w:bCs/>
                <w:noProof/>
              </w:rPr>
            </w:pPr>
            <w:r w:rsidRPr="00A136A6">
              <w:rPr>
                <w:b/>
                <w:bCs/>
                <w:noProof/>
              </w:rPr>
              <w:t>59,728,208.62</w:t>
            </w:r>
          </w:p>
        </w:tc>
      </w:tr>
    </w:tbl>
    <w:p w14:paraId="182F343B" w14:textId="06BD60CA" w:rsidR="00955A30" w:rsidRPr="00232EBB" w:rsidRDefault="00B45256" w:rsidP="00E37E86">
      <w:pPr>
        <w:spacing w:afterLines="160" w:after="384" w:line="360" w:lineRule="auto"/>
        <w:jc w:val="both"/>
        <w:rPr>
          <w:rFonts w:eastAsia="Calibri"/>
          <w:noProof/>
          <w:sz w:val="18"/>
          <w:szCs w:val="18"/>
          <w:lang w:val="es-DO"/>
        </w:rPr>
      </w:pPr>
      <w:r w:rsidRPr="00232EBB">
        <w:rPr>
          <w:rFonts w:eastAsia="Calibri"/>
          <w:b/>
          <w:bCs/>
          <w:noProof/>
          <w:sz w:val="18"/>
          <w:szCs w:val="18"/>
          <w:lang w:val="es-DO"/>
        </w:rPr>
        <w:t>Tabla</w:t>
      </w:r>
      <w:r w:rsidR="00DB3220" w:rsidRPr="00232EBB">
        <w:rPr>
          <w:rFonts w:eastAsia="Calibri"/>
          <w:b/>
          <w:bCs/>
          <w:noProof/>
          <w:sz w:val="18"/>
          <w:szCs w:val="18"/>
          <w:lang w:val="es-DO"/>
        </w:rPr>
        <w:t xml:space="preserve"> 1</w:t>
      </w:r>
      <w:r w:rsidR="00E27BAB">
        <w:rPr>
          <w:rFonts w:eastAsia="Calibri"/>
          <w:b/>
          <w:bCs/>
          <w:noProof/>
          <w:sz w:val="18"/>
          <w:szCs w:val="18"/>
          <w:lang w:val="es-DO"/>
        </w:rPr>
        <w:t>2</w:t>
      </w:r>
      <w:r w:rsidRPr="00232EBB">
        <w:rPr>
          <w:rFonts w:eastAsia="Calibri"/>
          <w:noProof/>
          <w:sz w:val="18"/>
          <w:szCs w:val="18"/>
          <w:lang w:val="es-DO"/>
        </w:rPr>
        <w:t>: Cantidad de notificaciones de pago por auditoria.</w:t>
      </w:r>
    </w:p>
    <w:p w14:paraId="514D56B9" w14:textId="77777777" w:rsidR="006C03EF" w:rsidRPr="00232EBB" w:rsidRDefault="006C03EF" w:rsidP="00CB7EEC">
      <w:pPr>
        <w:spacing w:line="360" w:lineRule="auto"/>
        <w:jc w:val="both"/>
        <w:rPr>
          <w:rFonts w:eastAsia="Calibri"/>
          <w:lang w:val="es-DO"/>
        </w:rPr>
      </w:pPr>
      <w:r w:rsidRPr="00232EBB">
        <w:rPr>
          <w:rFonts w:eastAsia="Calibri"/>
          <w:lang w:val="es-DO"/>
        </w:rPr>
        <w:lastRenderedPageBreak/>
        <w:t>Cabe destacar que de las NPA que se encuentran en estatus vencida, RD$5.7 MM fueron incluidas en acuerdos de pago, denotando aceptación de los hallazgos por parte de los empleadores auditados.</w:t>
      </w:r>
    </w:p>
    <w:p w14:paraId="1671EB7F" w14:textId="12227190" w:rsidR="00E12BB6" w:rsidRPr="00232EBB" w:rsidRDefault="00295F77" w:rsidP="002D2273">
      <w:pPr>
        <w:spacing w:after="0" w:line="360" w:lineRule="auto"/>
        <w:jc w:val="both"/>
        <w:rPr>
          <w:rFonts w:eastAsia="Calibri"/>
          <w:b/>
          <w:bCs/>
          <w:lang w:val="es-DO"/>
        </w:rPr>
      </w:pPr>
      <w:r w:rsidRPr="00232EBB">
        <w:rPr>
          <w:rFonts w:eastAsia="Calibri"/>
          <w:b/>
          <w:bCs/>
          <w:lang w:val="es-DO"/>
        </w:rPr>
        <w:t>Supervisión sobre Dispensas otorgadas</w:t>
      </w:r>
    </w:p>
    <w:p w14:paraId="13F0789B" w14:textId="77777777" w:rsidR="006C03EF" w:rsidRPr="00232EBB" w:rsidRDefault="006C03EF" w:rsidP="00C96522">
      <w:pPr>
        <w:spacing w:line="360" w:lineRule="auto"/>
        <w:jc w:val="both"/>
        <w:rPr>
          <w:rFonts w:eastAsia="Calibri"/>
          <w:lang w:val="es-DO"/>
        </w:rPr>
      </w:pPr>
      <w:r w:rsidRPr="00232EBB">
        <w:rPr>
          <w:rFonts w:eastAsia="Calibri"/>
          <w:lang w:val="es-DO"/>
        </w:rPr>
        <w:t>La Dirección de Fiscalización Externa se mantiene en un proceso permanente de análisis y verificación de las Dispensas otorgadas a los empleadores registrados al Sistema Dominicano de la Seguridad Social, acorde con las disposiciones de la Resolución 471-02 emitida por el Consejo Nacional de la Seguridad Social, de fecha 23 de mayo de 2019.</w:t>
      </w:r>
    </w:p>
    <w:p w14:paraId="0B4F8B8F" w14:textId="30624E3C" w:rsidR="006C03EF" w:rsidRPr="00232EBB" w:rsidRDefault="006C03EF" w:rsidP="00C96522">
      <w:pPr>
        <w:spacing w:line="360" w:lineRule="auto"/>
        <w:jc w:val="both"/>
        <w:rPr>
          <w:rFonts w:eastAsia="Calibri"/>
          <w:lang w:val="es-DO"/>
        </w:rPr>
      </w:pPr>
      <w:r w:rsidRPr="00232EBB">
        <w:rPr>
          <w:rFonts w:eastAsia="Calibri"/>
          <w:lang w:val="es-DO"/>
        </w:rPr>
        <w:t xml:space="preserve">En ese sentido, </w:t>
      </w:r>
      <w:r w:rsidR="00501167" w:rsidRPr="00232EBB">
        <w:rPr>
          <w:rFonts w:eastAsia="Calibri"/>
          <w:lang w:val="es-DO"/>
        </w:rPr>
        <w:t>se</w:t>
      </w:r>
      <w:r w:rsidRPr="00232EBB">
        <w:rPr>
          <w:rFonts w:eastAsia="Calibri"/>
          <w:lang w:val="es-DO"/>
        </w:rPr>
        <w:t xml:space="preserve"> evalúa de forma permanente y continua el comportamiento de los salarios registrados de los trabajadores correspondientes a aquellos empleadores a quienes se le ha otorgado dispensas en el SUIR, a fin de verificar que no exista falsedad de datos en la información reportada.</w:t>
      </w:r>
    </w:p>
    <w:p w14:paraId="7D177E5A" w14:textId="77777777" w:rsidR="006C03EF" w:rsidRPr="00232EBB" w:rsidRDefault="006C03EF" w:rsidP="00C96522">
      <w:pPr>
        <w:spacing w:line="360" w:lineRule="auto"/>
        <w:jc w:val="both"/>
        <w:rPr>
          <w:rFonts w:eastAsia="Calibri"/>
          <w:lang w:val="es-DO"/>
        </w:rPr>
      </w:pPr>
      <w:r w:rsidRPr="00232EBB">
        <w:rPr>
          <w:rFonts w:eastAsia="Calibri"/>
          <w:lang w:val="es-DO"/>
        </w:rPr>
        <w:t>Producto de esta evaluación, nuestra Dirección ha revocado 396 nóminas dispensadas en el período de enero a diciembre de 2025, logrando así reducir la elusión en el reporte del salario cotizable de los trabajadores.</w:t>
      </w:r>
    </w:p>
    <w:p w14:paraId="539AEB90" w14:textId="57E8126B" w:rsidR="00295F77" w:rsidRPr="00232EBB" w:rsidRDefault="00295F77" w:rsidP="006C03EF">
      <w:pPr>
        <w:rPr>
          <w:b/>
          <w:bCs/>
          <w:lang w:val="es-DO"/>
        </w:rPr>
      </w:pPr>
      <w:r w:rsidRPr="00232EBB">
        <w:rPr>
          <w:b/>
          <w:bCs/>
          <w:lang w:val="es-DO"/>
        </w:rPr>
        <w:t>Presunción de Fraude</w:t>
      </w:r>
    </w:p>
    <w:p w14:paraId="09733F4B" w14:textId="77777777" w:rsidR="006C03EF" w:rsidRPr="00232EBB" w:rsidRDefault="006C03EF" w:rsidP="00E05196">
      <w:pPr>
        <w:spacing w:line="360" w:lineRule="auto"/>
        <w:jc w:val="both"/>
        <w:rPr>
          <w:lang w:val="es-ES"/>
        </w:rPr>
      </w:pPr>
      <w:bookmarkStart w:id="50" w:name="_Toc171677824"/>
      <w:bookmarkStart w:id="51" w:name="_Toc172118667"/>
      <w:bookmarkStart w:id="52" w:name="_Toc172119830"/>
      <w:bookmarkStart w:id="53" w:name="_Toc172120163"/>
      <w:bookmarkStart w:id="54" w:name="_Toc172121381"/>
      <w:r w:rsidRPr="00232EBB">
        <w:rPr>
          <w:lang w:val="es-ES"/>
        </w:rPr>
        <w:t>Con la finalidad de preservar la sostenibilidad financiera del Sistema Dominicano de la Seguridad Social, la Dirección monitorea, de forma permanente y continua, el comportamiento de los empleadores en el reporte de las novedades de sus trabajadores, a través de su base de datos.</w:t>
      </w:r>
    </w:p>
    <w:p w14:paraId="254FCD5B" w14:textId="77777777" w:rsidR="006C03EF" w:rsidRPr="00232EBB" w:rsidRDefault="006C03EF" w:rsidP="00E05196">
      <w:pPr>
        <w:spacing w:line="360" w:lineRule="auto"/>
        <w:jc w:val="both"/>
        <w:rPr>
          <w:lang w:val="es-ES"/>
        </w:rPr>
      </w:pPr>
      <w:r w:rsidRPr="00232EBB">
        <w:rPr>
          <w:lang w:val="es-ES"/>
        </w:rPr>
        <w:t>Producto de esta revisión, se tomaron las siguientes acciones:</w:t>
      </w:r>
    </w:p>
    <w:p w14:paraId="0185DCE0" w14:textId="77777777" w:rsidR="006C03EF" w:rsidRPr="00232EBB" w:rsidRDefault="006C03EF" w:rsidP="00E05196">
      <w:pPr>
        <w:spacing w:line="360" w:lineRule="auto"/>
        <w:jc w:val="both"/>
        <w:rPr>
          <w:lang w:val="es-ES"/>
        </w:rPr>
      </w:pPr>
      <w:r w:rsidRPr="00232EBB">
        <w:rPr>
          <w:lang w:val="es-ES"/>
        </w:rPr>
        <w:t>Suspensión de 246 RNC por presunción de fraude, lo cual inhabilita al empleador para interactuar con el SUIR.</w:t>
      </w:r>
    </w:p>
    <w:p w14:paraId="0777356D" w14:textId="77777777" w:rsidR="006C03EF" w:rsidRPr="00232EBB" w:rsidRDefault="006C03EF" w:rsidP="00E05196">
      <w:pPr>
        <w:spacing w:line="360" w:lineRule="auto"/>
        <w:jc w:val="both"/>
        <w:rPr>
          <w:lang w:val="es-ES"/>
        </w:rPr>
      </w:pPr>
      <w:r w:rsidRPr="00232EBB">
        <w:rPr>
          <w:lang w:val="es-ES"/>
        </w:rPr>
        <w:lastRenderedPageBreak/>
        <w:t>Bloqueo del acceso al SUIR de los representantes realizados por el empleador.</w:t>
      </w:r>
    </w:p>
    <w:p w14:paraId="332BAB71" w14:textId="57A92BD5" w:rsidR="006C03EF" w:rsidRPr="00232EBB" w:rsidRDefault="006C03EF" w:rsidP="006C03EF">
      <w:pPr>
        <w:rPr>
          <w:b/>
          <w:bCs/>
          <w:lang w:val="es-DO"/>
        </w:rPr>
      </w:pPr>
      <w:r w:rsidRPr="00232EBB">
        <w:rPr>
          <w:b/>
          <w:bCs/>
          <w:lang w:val="es-DO"/>
        </w:rPr>
        <w:t>Procedimiento Administrativo Sancionador</w:t>
      </w:r>
    </w:p>
    <w:p w14:paraId="4B903BFD" w14:textId="77777777" w:rsidR="006C03EF" w:rsidRPr="00232EBB" w:rsidRDefault="006C03EF" w:rsidP="00E05196">
      <w:pPr>
        <w:spacing w:line="360" w:lineRule="auto"/>
        <w:jc w:val="both"/>
        <w:rPr>
          <w:lang w:val="es-ES"/>
        </w:rPr>
      </w:pPr>
      <w:r w:rsidRPr="00232EBB">
        <w:rPr>
          <w:lang w:val="es-ES"/>
        </w:rPr>
        <w:t>Como parte de las atribuciones conferidas a esta Tesorería en el artículo 28 de la Ley 87-01 y sus modificaciones, se encuentra la imposición de multas y sanciones a los empleadores infractores de las disposiciones de la Ley, sus modificaciones y normas complementarias.</w:t>
      </w:r>
    </w:p>
    <w:p w14:paraId="775A33F2" w14:textId="77777777" w:rsidR="006C03EF" w:rsidRPr="00232EBB" w:rsidRDefault="006C03EF" w:rsidP="00E05196">
      <w:pPr>
        <w:spacing w:line="360" w:lineRule="auto"/>
        <w:jc w:val="both"/>
        <w:rPr>
          <w:lang w:val="es-ES"/>
        </w:rPr>
      </w:pPr>
      <w:r w:rsidRPr="00232EBB">
        <w:rPr>
          <w:lang w:val="es-ES"/>
        </w:rPr>
        <w:t>Para estos fines, la Dirección de Fiscalización Externa cuenta con una Sección de Sanciones y Multas, la cual es apoderada para la realización del procedimiento administrativo sancionador correspondiente, en los casos de empleadores a quienes se les ha identificado la comisión de una o varias infracciones, a través de los procesos de auditoría y fiscalización, las cuales citamos a continuación:</w:t>
      </w:r>
    </w:p>
    <w:p w14:paraId="5A87BF5A" w14:textId="4EC66CC5" w:rsidR="006C03EF" w:rsidRPr="00232EBB" w:rsidRDefault="006C03EF" w:rsidP="000E2299">
      <w:pPr>
        <w:pStyle w:val="ListParagraph"/>
        <w:numPr>
          <w:ilvl w:val="0"/>
          <w:numId w:val="14"/>
        </w:numPr>
        <w:spacing w:line="360" w:lineRule="auto"/>
        <w:rPr>
          <w:rFonts w:ascii="Times New Roman" w:eastAsiaTheme="minorHAnsi" w:hAnsi="Times New Roman"/>
          <w:color w:val="767171"/>
          <w:spacing w:val="20"/>
          <w:sz w:val="24"/>
          <w:szCs w:val="24"/>
          <w:lang w:val="es-ES"/>
        </w:rPr>
      </w:pPr>
      <w:r w:rsidRPr="00232EBB">
        <w:rPr>
          <w:rFonts w:ascii="Times New Roman" w:eastAsiaTheme="minorHAnsi" w:hAnsi="Times New Roman"/>
          <w:color w:val="767171"/>
          <w:spacing w:val="20"/>
          <w:sz w:val="24"/>
          <w:szCs w:val="24"/>
          <w:lang w:val="es-ES"/>
        </w:rPr>
        <w:t>Cuando se determine que el empleador no ha reportado el salario completo de sus trabajadores</w:t>
      </w:r>
      <w:r w:rsidR="004F0A49" w:rsidRPr="00232EBB">
        <w:rPr>
          <w:rFonts w:ascii="Times New Roman" w:eastAsiaTheme="minorHAnsi" w:hAnsi="Times New Roman"/>
          <w:color w:val="767171"/>
          <w:spacing w:val="20"/>
          <w:sz w:val="24"/>
          <w:szCs w:val="24"/>
          <w:lang w:val="es-ES"/>
        </w:rPr>
        <w:t>.</w:t>
      </w:r>
    </w:p>
    <w:p w14:paraId="24C4C407" w14:textId="2D479590" w:rsidR="006C03EF" w:rsidRPr="00232EBB" w:rsidRDefault="006C03EF" w:rsidP="000E2299">
      <w:pPr>
        <w:pStyle w:val="ListParagraph"/>
        <w:numPr>
          <w:ilvl w:val="0"/>
          <w:numId w:val="14"/>
        </w:numPr>
        <w:spacing w:line="360" w:lineRule="auto"/>
        <w:rPr>
          <w:rFonts w:ascii="Times New Roman" w:eastAsiaTheme="minorHAnsi" w:hAnsi="Times New Roman"/>
          <w:color w:val="767171"/>
          <w:spacing w:val="20"/>
          <w:sz w:val="24"/>
          <w:szCs w:val="24"/>
          <w:lang w:val="es-ES"/>
        </w:rPr>
      </w:pPr>
      <w:r w:rsidRPr="00232EBB">
        <w:rPr>
          <w:rFonts w:ascii="Times New Roman" w:eastAsiaTheme="minorHAnsi" w:hAnsi="Times New Roman"/>
          <w:color w:val="767171"/>
          <w:spacing w:val="20"/>
          <w:sz w:val="24"/>
          <w:szCs w:val="24"/>
          <w:lang w:val="es-ES"/>
        </w:rPr>
        <w:t>Cuando se determine que el empleador ha reducido el salario base de sus trabajadores</w:t>
      </w:r>
      <w:r w:rsidR="004F0A49" w:rsidRPr="00232EBB">
        <w:rPr>
          <w:rFonts w:ascii="Times New Roman" w:eastAsiaTheme="minorHAnsi" w:hAnsi="Times New Roman"/>
          <w:color w:val="767171"/>
          <w:spacing w:val="20"/>
          <w:sz w:val="24"/>
          <w:szCs w:val="24"/>
          <w:lang w:val="es-ES"/>
        </w:rPr>
        <w:t>.</w:t>
      </w:r>
    </w:p>
    <w:p w14:paraId="2BA0FC56" w14:textId="2E41808B" w:rsidR="006C03EF" w:rsidRPr="00232EBB" w:rsidRDefault="006C03EF" w:rsidP="000E2299">
      <w:pPr>
        <w:pStyle w:val="ListParagraph"/>
        <w:numPr>
          <w:ilvl w:val="0"/>
          <w:numId w:val="14"/>
        </w:numPr>
        <w:spacing w:line="360" w:lineRule="auto"/>
        <w:rPr>
          <w:rFonts w:ascii="Times New Roman" w:eastAsiaTheme="minorHAnsi" w:hAnsi="Times New Roman"/>
          <w:color w:val="767171"/>
          <w:spacing w:val="20"/>
          <w:sz w:val="24"/>
          <w:szCs w:val="24"/>
          <w:lang w:val="es-ES"/>
        </w:rPr>
      </w:pPr>
      <w:r w:rsidRPr="00232EBB">
        <w:rPr>
          <w:rFonts w:ascii="Times New Roman" w:eastAsiaTheme="minorHAnsi" w:hAnsi="Times New Roman"/>
          <w:color w:val="767171"/>
          <w:spacing w:val="20"/>
          <w:sz w:val="24"/>
          <w:szCs w:val="24"/>
          <w:lang w:val="es-ES"/>
        </w:rPr>
        <w:t>Cuando se determine que el empleador ha retirado trabajadores de manera intermitente con la finalidad de evadir parte de sus obligaciones consagradas en los artículos 36, 62, 144 y 202 de la Ley</w:t>
      </w:r>
      <w:r w:rsidR="004F0A49" w:rsidRPr="00232EBB">
        <w:rPr>
          <w:rFonts w:ascii="Times New Roman" w:eastAsiaTheme="minorHAnsi" w:hAnsi="Times New Roman"/>
          <w:color w:val="767171"/>
          <w:spacing w:val="20"/>
          <w:sz w:val="24"/>
          <w:szCs w:val="24"/>
          <w:lang w:val="es-ES"/>
        </w:rPr>
        <w:t>.</w:t>
      </w:r>
    </w:p>
    <w:p w14:paraId="59FD4722" w14:textId="434F67D3" w:rsidR="006C03EF" w:rsidRPr="00232EBB" w:rsidRDefault="006C03EF" w:rsidP="000E2299">
      <w:pPr>
        <w:pStyle w:val="ListParagraph"/>
        <w:numPr>
          <w:ilvl w:val="0"/>
          <w:numId w:val="14"/>
        </w:numPr>
        <w:spacing w:line="360" w:lineRule="auto"/>
        <w:rPr>
          <w:rFonts w:ascii="Times New Roman" w:eastAsiaTheme="minorHAnsi" w:hAnsi="Times New Roman"/>
          <w:color w:val="767171"/>
          <w:spacing w:val="20"/>
          <w:sz w:val="24"/>
          <w:szCs w:val="24"/>
          <w:lang w:val="es-ES"/>
        </w:rPr>
      </w:pPr>
      <w:r w:rsidRPr="00232EBB">
        <w:rPr>
          <w:rFonts w:ascii="Times New Roman" w:eastAsiaTheme="minorHAnsi" w:hAnsi="Times New Roman"/>
          <w:color w:val="767171"/>
          <w:spacing w:val="20"/>
          <w:sz w:val="24"/>
          <w:szCs w:val="24"/>
          <w:lang w:val="es-ES"/>
        </w:rPr>
        <w:t>Cuando se determine que el empleador ha reportado a personas en sus nóminas que no son sus trabajadores</w:t>
      </w:r>
      <w:r w:rsidR="004F0A49" w:rsidRPr="00232EBB">
        <w:rPr>
          <w:rFonts w:ascii="Times New Roman" w:eastAsiaTheme="minorHAnsi" w:hAnsi="Times New Roman"/>
          <w:color w:val="767171"/>
          <w:spacing w:val="20"/>
          <w:sz w:val="24"/>
          <w:szCs w:val="24"/>
          <w:lang w:val="es-ES"/>
        </w:rPr>
        <w:t>.</w:t>
      </w:r>
    </w:p>
    <w:p w14:paraId="649EBFA9" w14:textId="23079D22" w:rsidR="006C03EF" w:rsidRPr="00232EBB" w:rsidRDefault="006C03EF" w:rsidP="000E2299">
      <w:pPr>
        <w:pStyle w:val="ListParagraph"/>
        <w:numPr>
          <w:ilvl w:val="0"/>
          <w:numId w:val="14"/>
        </w:numPr>
        <w:spacing w:line="360" w:lineRule="auto"/>
        <w:rPr>
          <w:rFonts w:ascii="Times New Roman" w:eastAsiaTheme="minorHAnsi" w:hAnsi="Times New Roman"/>
          <w:color w:val="767171"/>
          <w:spacing w:val="20"/>
          <w:sz w:val="24"/>
          <w:szCs w:val="24"/>
          <w:lang w:val="es-ES"/>
        </w:rPr>
      </w:pPr>
      <w:r w:rsidRPr="00232EBB">
        <w:rPr>
          <w:rFonts w:ascii="Times New Roman" w:eastAsiaTheme="minorHAnsi" w:hAnsi="Times New Roman"/>
          <w:color w:val="767171"/>
          <w:spacing w:val="20"/>
          <w:sz w:val="24"/>
          <w:szCs w:val="24"/>
          <w:lang w:val="es-ES"/>
        </w:rPr>
        <w:t>Cuando se determine que el empleador ha realizado operaciones comerciales, industriales o de servicios sin haberse registrado en la TSS y ha tenido trabajadores en relación de dependencia a los cuales no ha inscrito en esta.</w:t>
      </w:r>
    </w:p>
    <w:p w14:paraId="392BAE35" w14:textId="77777777" w:rsidR="006C03EF" w:rsidRPr="00232EBB" w:rsidRDefault="006C03EF" w:rsidP="00E05196">
      <w:pPr>
        <w:spacing w:line="360" w:lineRule="auto"/>
        <w:jc w:val="both"/>
        <w:rPr>
          <w:lang w:val="es-ES"/>
        </w:rPr>
      </w:pPr>
      <w:r w:rsidRPr="00232EBB">
        <w:rPr>
          <w:lang w:val="es-ES"/>
        </w:rPr>
        <w:lastRenderedPageBreak/>
        <w:t>En ese sentido, durante el período enero – diciembre 2025 fueron emitidas y notificadas efectivamente 65 Resoluciones Sancionadoras imponiendo las multas correspondientes en cada caso, las cuales ascienden en total a RD$10,658,355.</w:t>
      </w:r>
    </w:p>
    <w:p w14:paraId="5BC6EBBD" w14:textId="513C8136" w:rsidR="006C03EF" w:rsidRPr="00232EBB" w:rsidRDefault="00501167" w:rsidP="006C03EF">
      <w:pPr>
        <w:rPr>
          <w:b/>
          <w:bCs/>
          <w:lang w:val="es-DO"/>
        </w:rPr>
      </w:pPr>
      <w:r w:rsidRPr="00232EBB">
        <w:rPr>
          <w:b/>
          <w:bCs/>
          <w:lang w:val="es-DO"/>
        </w:rPr>
        <w:t xml:space="preserve">Otros </w:t>
      </w:r>
      <w:r w:rsidR="006C03EF" w:rsidRPr="00232EBB">
        <w:rPr>
          <w:b/>
          <w:bCs/>
          <w:lang w:val="es-DO"/>
        </w:rPr>
        <w:t>Logros</w:t>
      </w:r>
    </w:p>
    <w:p w14:paraId="794E8C3F" w14:textId="77777777" w:rsidR="006C03EF" w:rsidRPr="00232EBB" w:rsidRDefault="006C03EF" w:rsidP="00E05196">
      <w:pPr>
        <w:spacing w:line="360" w:lineRule="auto"/>
        <w:jc w:val="both"/>
        <w:rPr>
          <w:lang w:val="es-ES"/>
        </w:rPr>
      </w:pPr>
      <w:r w:rsidRPr="00232EBB">
        <w:rPr>
          <w:lang w:val="es-ES"/>
        </w:rPr>
        <w:t>Como resultado de las labores realizadas, se ha incrementado la recaudación de las aportaciones realizadas por los empleadores, como se describe a continuación:</w:t>
      </w:r>
    </w:p>
    <w:p w14:paraId="55673DE1" w14:textId="3FA3809E" w:rsidR="006C03EF" w:rsidRPr="00232EBB" w:rsidRDefault="006C03EF" w:rsidP="00E05196">
      <w:pPr>
        <w:spacing w:line="360" w:lineRule="auto"/>
        <w:jc w:val="both"/>
        <w:rPr>
          <w:lang w:val="es-ES"/>
        </w:rPr>
      </w:pPr>
      <w:r w:rsidRPr="00232EBB">
        <w:rPr>
          <w:lang w:val="es-ES"/>
        </w:rPr>
        <w:t>•Implementación e inicio de ejecución del Procedimiento Administrativo Sancionador sobre los empleadores infractores de la Ley 87-01, sus modificaciones y normas complementarias.</w:t>
      </w:r>
    </w:p>
    <w:p w14:paraId="74BDB747" w14:textId="7E8A0895" w:rsidR="006C03EF" w:rsidRPr="00232EBB" w:rsidRDefault="006C03EF" w:rsidP="00E05196">
      <w:pPr>
        <w:spacing w:line="360" w:lineRule="auto"/>
        <w:jc w:val="both"/>
        <w:rPr>
          <w:lang w:val="es-ES"/>
        </w:rPr>
      </w:pPr>
      <w:r w:rsidRPr="00232EBB">
        <w:rPr>
          <w:lang w:val="es-ES"/>
        </w:rPr>
        <w:t>•Suspensión temporal de 246 RNC por prácticas que se presumen fraudulentas, procurando así mantener la estabilidad financiera del SDSS.</w:t>
      </w:r>
    </w:p>
    <w:p w14:paraId="02692FC9" w14:textId="603E70AA" w:rsidR="006C03EF" w:rsidRPr="00232EBB" w:rsidRDefault="006C03EF" w:rsidP="00E05196">
      <w:pPr>
        <w:spacing w:line="360" w:lineRule="auto"/>
        <w:jc w:val="both"/>
        <w:rPr>
          <w:lang w:val="es-ES"/>
        </w:rPr>
      </w:pPr>
      <w:r w:rsidRPr="00232EBB">
        <w:rPr>
          <w:lang w:val="es-ES"/>
        </w:rPr>
        <w:t>•Generación de Notificaciones de Pago por Auditoría por un total de RD$</w:t>
      </w:r>
      <w:r w:rsidR="00B32F43">
        <w:rPr>
          <w:lang w:val="es-ES"/>
        </w:rPr>
        <w:t>59.7</w:t>
      </w:r>
      <w:r w:rsidRPr="00232EBB">
        <w:rPr>
          <w:lang w:val="es-ES"/>
        </w:rPr>
        <w:t>MM, con lo cual se asegura que los trabajadores asociados reciban las aportaciones correctas en sus cuentas de capitalización individual, a la vez que se garantiza la sostenibilidad de la cuenta Cuidado de la Salud de la cual se realizan los pagos al Seguro Familiar de Salud.</w:t>
      </w:r>
    </w:p>
    <w:p w14:paraId="6CFA9CEC" w14:textId="77777777" w:rsidR="00862F3D" w:rsidRPr="00232EBB" w:rsidRDefault="00862F3D" w:rsidP="00862F3D">
      <w:pPr>
        <w:spacing w:line="360" w:lineRule="auto"/>
        <w:jc w:val="both"/>
        <w:rPr>
          <w:rFonts w:eastAsia="Calibri"/>
          <w:noProof/>
          <w:lang w:val="es-DO"/>
        </w:rPr>
      </w:pPr>
      <w:r w:rsidRPr="00232EBB">
        <w:rPr>
          <w:rFonts w:eastAsia="Calibri"/>
          <w:noProof/>
          <w:lang w:val="es-DO"/>
        </w:rPr>
        <w:t xml:space="preserve">En el año 2025, la Dirección de Servicios proporcionó asistencia a más de 200,000 solicitudes a nivel nacional a través de diversos canales de atención y Puntos GOB. Este número está en aumento, lo que demuestra el compromiso de la institución en alineación con el eje de acercamiento al usuario y la creciente conciencia entre los sectores sobre la importancia del pago de aportes y contribuciones a los trabajadores en cumplimiento con el Régimen Contributivo. </w:t>
      </w:r>
    </w:p>
    <w:p w14:paraId="656303A4" w14:textId="349D3F73" w:rsidR="00862F3D" w:rsidRPr="00232EBB" w:rsidRDefault="00862F3D" w:rsidP="00862F3D">
      <w:pPr>
        <w:spacing w:after="240" w:line="360" w:lineRule="auto"/>
        <w:jc w:val="both"/>
        <w:rPr>
          <w:rFonts w:eastAsia="Calibri"/>
          <w:noProof/>
          <w:lang w:val="es-DO"/>
        </w:rPr>
      </w:pPr>
      <w:r w:rsidRPr="00232EBB">
        <w:rPr>
          <w:rFonts w:eastAsia="Calibri"/>
          <w:noProof/>
          <w:lang w:val="es-DO"/>
        </w:rPr>
        <w:lastRenderedPageBreak/>
        <w:t>Con el objetivo de reducir las brechas en el reporte y pago de aportes a la seguridad social y promover el uso adecuado de nuestras plataformas, desarrollamos más de 80 jornadas de capacitación, impactando a 6,</w:t>
      </w:r>
      <w:r w:rsidR="00C20B96">
        <w:rPr>
          <w:rFonts w:eastAsia="Calibri"/>
          <w:noProof/>
          <w:lang w:val="es-DO"/>
        </w:rPr>
        <w:t>960</w:t>
      </w:r>
      <w:r w:rsidRPr="00232EBB">
        <w:rPr>
          <w:rFonts w:eastAsia="Calibri"/>
          <w:noProof/>
          <w:lang w:val="es-DO"/>
        </w:rPr>
        <w:t xml:space="preserve"> representantes, estudiantes universitarios y afiliados del SDSS. Estas acciones representaron un total de </w:t>
      </w:r>
      <w:r w:rsidR="00C20B96">
        <w:rPr>
          <w:rFonts w:eastAsia="Calibri"/>
          <w:noProof/>
          <w:lang w:val="es-DO"/>
        </w:rPr>
        <w:t>27,725</w:t>
      </w:r>
      <w:r w:rsidRPr="00232EBB">
        <w:rPr>
          <w:rFonts w:eastAsia="Calibri"/>
          <w:noProof/>
          <w:lang w:val="es-DO"/>
        </w:rPr>
        <w:t xml:space="preserve"> horas/hombre dedicadas a fortalecer sus conocimientos sobre el manejo del Sistema Único de Información y Recaudo (SUIR), la Oficina Virtual TSS, la Plataforma de Servicios en Línea y sus responsabilidades dentro del Sistema Dominicano de Seguridad Social.</w:t>
      </w:r>
    </w:p>
    <w:p w14:paraId="1BECBE28" w14:textId="66A786D1" w:rsidR="00656D15" w:rsidRPr="00232EBB" w:rsidRDefault="00862F3D" w:rsidP="00656D15">
      <w:pPr>
        <w:spacing w:line="360" w:lineRule="auto"/>
        <w:jc w:val="both"/>
        <w:rPr>
          <w:rFonts w:eastAsia="Times New Roman"/>
          <w:spacing w:val="0"/>
          <w:lang w:val="es-MX"/>
        </w:rPr>
      </w:pPr>
      <w:r w:rsidRPr="00232EBB">
        <w:rPr>
          <w:rFonts w:eastAsia="Times New Roman"/>
          <w:lang w:val="es-MX"/>
        </w:rPr>
        <w:t>En adición a esto, durante el 2025</w:t>
      </w:r>
      <w:r w:rsidR="00656D15" w:rsidRPr="00232EBB">
        <w:rPr>
          <w:rFonts w:eastAsia="Times New Roman"/>
          <w:lang w:val="es-MX"/>
        </w:rPr>
        <w:t xml:space="preserve"> los soportes brindados por nuestro equipo gestor suman al cierre del 2025 un total de </w:t>
      </w:r>
      <w:r w:rsidR="00C20B96">
        <w:rPr>
          <w:rFonts w:eastAsia="Times New Roman"/>
          <w:lang w:val="es-MX"/>
        </w:rPr>
        <w:t>155,250</w:t>
      </w:r>
      <w:r w:rsidR="00656D15" w:rsidRPr="00232EBB">
        <w:rPr>
          <w:rFonts w:eastAsia="Times New Roman"/>
          <w:lang w:val="es-MX"/>
        </w:rPr>
        <w:t xml:space="preserve"> llamadas y chats con un cierre de brecha significativo en comparación con el año 2022 y 2023 donde la tasa de abandono del Centro de Asistencia al Usuario se ha ido reduciendo de un 53% en 2022 a un 11% en 2023 y en este 2025 a solo un 2%.</w:t>
      </w:r>
    </w:p>
    <w:p w14:paraId="1F5F5CE8" w14:textId="77777777" w:rsidR="007848B5" w:rsidRPr="00232EBB" w:rsidRDefault="00F13E16" w:rsidP="00C96522">
      <w:pPr>
        <w:spacing w:line="360" w:lineRule="auto"/>
        <w:jc w:val="both"/>
        <w:rPr>
          <w:b/>
          <w:bCs/>
          <w:lang w:val="es-DO"/>
        </w:rPr>
      </w:pPr>
      <w:r w:rsidRPr="00232EBB">
        <w:rPr>
          <w:b/>
          <w:bCs/>
          <w:lang w:val="es-DO"/>
        </w:rPr>
        <w:t>Registro de Empresas</w:t>
      </w:r>
      <w:bookmarkStart w:id="55" w:name="_Toc171677825"/>
      <w:bookmarkStart w:id="56" w:name="_Toc172118668"/>
      <w:bookmarkStart w:id="57" w:name="_Toc172119831"/>
      <w:bookmarkStart w:id="58" w:name="_Toc172120164"/>
      <w:bookmarkStart w:id="59" w:name="_Toc172121382"/>
      <w:bookmarkEnd w:id="50"/>
      <w:bookmarkEnd w:id="51"/>
      <w:bookmarkEnd w:id="52"/>
      <w:bookmarkEnd w:id="53"/>
      <w:bookmarkEnd w:id="54"/>
    </w:p>
    <w:p w14:paraId="5F849E38" w14:textId="787AF03D" w:rsidR="00862F3D" w:rsidRPr="00232EBB" w:rsidRDefault="00862F3D" w:rsidP="00C96522">
      <w:pPr>
        <w:spacing w:line="360" w:lineRule="auto"/>
        <w:jc w:val="both"/>
        <w:rPr>
          <w:b/>
          <w:bCs/>
          <w:lang w:val="es-DO"/>
        </w:rPr>
      </w:pPr>
      <w:r w:rsidRPr="00232EBB">
        <w:rPr>
          <w:rFonts w:eastAsia="Calibri"/>
          <w:noProof/>
          <w:lang w:val="es-ES"/>
        </w:rPr>
        <w:t>El servicio de registro de empresas de la Tesorería de la Seguridad Social (TSS) es una herramienta crucial para garantizar que las empresas operen dentro del marco legal y contribuyan al sistema de seguridad social siendo sus principales objetivos:</w:t>
      </w:r>
    </w:p>
    <w:p w14:paraId="7DB6B57D" w14:textId="77777777" w:rsidR="00862F3D" w:rsidRPr="00232EBB" w:rsidRDefault="00862F3D" w:rsidP="00C96522">
      <w:pPr>
        <w:pStyle w:val="ListParagraph"/>
        <w:numPr>
          <w:ilvl w:val="0"/>
          <w:numId w:val="3"/>
        </w:numPr>
        <w:spacing w:before="240" w:line="360" w:lineRule="auto"/>
        <w:rPr>
          <w:rFonts w:ascii="Times New Roman" w:hAnsi="Times New Roman"/>
          <w:noProof/>
          <w:color w:val="767171"/>
          <w:spacing w:val="20"/>
          <w:sz w:val="24"/>
          <w:szCs w:val="24"/>
          <w:lang w:val="es-ES"/>
        </w:rPr>
      </w:pPr>
      <w:r w:rsidRPr="00232EBB">
        <w:rPr>
          <w:rFonts w:ascii="Times New Roman" w:hAnsi="Times New Roman"/>
          <w:noProof/>
          <w:color w:val="767171"/>
          <w:spacing w:val="20"/>
          <w:sz w:val="24"/>
          <w:szCs w:val="24"/>
          <w:lang w:val="es-ES"/>
        </w:rPr>
        <w:t>Inscripción Formal: Garantizar que todas las empresas se inscriban formalmente en el sistema de seguridad social y puedan acceder a la plataforma de registro de novedades.</w:t>
      </w:r>
    </w:p>
    <w:p w14:paraId="655D72DF" w14:textId="77777777" w:rsidR="00862F3D" w:rsidRPr="00232EBB" w:rsidRDefault="00862F3D" w:rsidP="00C96522">
      <w:pPr>
        <w:pStyle w:val="ListParagraph"/>
        <w:numPr>
          <w:ilvl w:val="0"/>
          <w:numId w:val="3"/>
        </w:numPr>
        <w:spacing w:before="240" w:line="360" w:lineRule="auto"/>
        <w:rPr>
          <w:rFonts w:ascii="Times New Roman" w:hAnsi="Times New Roman"/>
          <w:noProof/>
          <w:color w:val="767171"/>
          <w:spacing w:val="20"/>
          <w:sz w:val="24"/>
          <w:szCs w:val="24"/>
          <w:lang w:val="es-ES"/>
        </w:rPr>
      </w:pPr>
      <w:r w:rsidRPr="00232EBB">
        <w:rPr>
          <w:rFonts w:ascii="Times New Roman" w:hAnsi="Times New Roman"/>
          <w:noProof/>
          <w:color w:val="767171"/>
          <w:spacing w:val="20"/>
          <w:sz w:val="24"/>
          <w:szCs w:val="24"/>
          <w:lang w:val="es-ES"/>
        </w:rPr>
        <w:t>Cumplimiento Legal: Asegurar que las empresas cumplan con las normativas vigentes del SDSS.</w:t>
      </w:r>
    </w:p>
    <w:p w14:paraId="4D0CB598" w14:textId="77777777" w:rsidR="00862F3D" w:rsidRPr="00232EBB" w:rsidRDefault="00862F3D" w:rsidP="00C96522">
      <w:pPr>
        <w:pStyle w:val="ListParagraph"/>
        <w:numPr>
          <w:ilvl w:val="0"/>
          <w:numId w:val="3"/>
        </w:numPr>
        <w:spacing w:before="240" w:line="360" w:lineRule="auto"/>
        <w:rPr>
          <w:rFonts w:ascii="Times New Roman" w:hAnsi="Times New Roman"/>
          <w:noProof/>
          <w:color w:val="767171"/>
          <w:spacing w:val="20"/>
          <w:sz w:val="24"/>
          <w:szCs w:val="24"/>
          <w:lang w:val="es-ES"/>
        </w:rPr>
      </w:pPr>
      <w:r w:rsidRPr="00232EBB">
        <w:rPr>
          <w:rFonts w:ascii="Times New Roman" w:hAnsi="Times New Roman"/>
          <w:noProof/>
          <w:color w:val="767171"/>
          <w:spacing w:val="20"/>
          <w:sz w:val="24"/>
          <w:szCs w:val="24"/>
          <w:lang w:val="es-ES"/>
        </w:rPr>
        <w:t>Recaudación Eficiente: Facilitar la recaudación de los aportes y contribuciones.</w:t>
      </w:r>
    </w:p>
    <w:p w14:paraId="7B9F6739" w14:textId="77777777" w:rsidR="00862F3D" w:rsidRPr="00232EBB" w:rsidRDefault="00862F3D" w:rsidP="00C96522">
      <w:pPr>
        <w:pStyle w:val="ListParagraph"/>
        <w:numPr>
          <w:ilvl w:val="0"/>
          <w:numId w:val="3"/>
        </w:numPr>
        <w:spacing w:before="240" w:line="360" w:lineRule="auto"/>
        <w:rPr>
          <w:rFonts w:ascii="Times New Roman" w:hAnsi="Times New Roman"/>
          <w:noProof/>
          <w:color w:val="767171"/>
          <w:spacing w:val="20"/>
          <w:sz w:val="24"/>
          <w:szCs w:val="24"/>
          <w:lang w:val="es-ES"/>
        </w:rPr>
      </w:pPr>
      <w:r w:rsidRPr="00232EBB">
        <w:rPr>
          <w:rFonts w:ascii="Times New Roman" w:hAnsi="Times New Roman"/>
          <w:noProof/>
          <w:color w:val="767171"/>
          <w:spacing w:val="20"/>
          <w:sz w:val="24"/>
          <w:szCs w:val="24"/>
          <w:lang w:val="es-ES"/>
        </w:rPr>
        <w:lastRenderedPageBreak/>
        <w:t>Protección de los Trabajadores: Proveer un marco que garantice los derechos y beneficios de seguridad social para los empleados.</w:t>
      </w:r>
    </w:p>
    <w:p w14:paraId="240B155B" w14:textId="62CCFA0A" w:rsidR="005F50C5" w:rsidRPr="00232EBB" w:rsidRDefault="00F13E16" w:rsidP="00C96522">
      <w:pPr>
        <w:spacing w:line="360" w:lineRule="auto"/>
        <w:rPr>
          <w:b/>
          <w:bCs/>
          <w:lang w:val="es-DO"/>
        </w:rPr>
      </w:pPr>
      <w:r w:rsidRPr="00232EBB">
        <w:rPr>
          <w:b/>
          <w:bCs/>
          <w:lang w:val="es-DO"/>
        </w:rPr>
        <w:t>Certificaciones</w:t>
      </w:r>
      <w:bookmarkStart w:id="60" w:name="_Toc184981192"/>
      <w:bookmarkEnd w:id="55"/>
      <w:bookmarkEnd w:id="56"/>
      <w:bookmarkEnd w:id="57"/>
      <w:bookmarkEnd w:id="58"/>
      <w:bookmarkEnd w:id="59"/>
    </w:p>
    <w:p w14:paraId="793B85E1" w14:textId="1862DED3" w:rsidR="00862F3D" w:rsidRPr="00232EBB" w:rsidRDefault="00862F3D" w:rsidP="00C96522">
      <w:pPr>
        <w:spacing w:line="360" w:lineRule="auto"/>
        <w:jc w:val="both"/>
        <w:rPr>
          <w:b/>
          <w:bCs/>
          <w:lang w:val="es-DO"/>
        </w:rPr>
      </w:pPr>
      <w:r w:rsidRPr="00232EBB">
        <w:rPr>
          <w:noProof/>
          <w:lang w:val="es-ES"/>
        </w:rPr>
        <w:t xml:space="preserve">Las certificaciones automáticas son productos que los usuarios generan a través del SUIR o vía la Oficina Virtual TSS permitiéndoles con esta información, la verificación de datos y la emisión pruebas de sus cotizaciones al Sistema Dominicano de Seguridad Social, eliminando la necesidad de intervención de terceros en el proceso de generación.  </w:t>
      </w:r>
    </w:p>
    <w:p w14:paraId="3B916421" w14:textId="78E05D23" w:rsidR="00647680" w:rsidRPr="00232EBB" w:rsidRDefault="00862F3D" w:rsidP="00C96522">
      <w:pPr>
        <w:spacing w:before="240" w:line="360" w:lineRule="auto"/>
        <w:jc w:val="both"/>
        <w:rPr>
          <w:noProof/>
          <w:lang w:val="es-ES"/>
        </w:rPr>
      </w:pPr>
      <w:r w:rsidRPr="00232EBB">
        <w:rPr>
          <w:noProof/>
          <w:lang w:val="es-ES"/>
        </w:rPr>
        <w:t>En 2025, la TSS ha generado 1,5</w:t>
      </w:r>
      <w:r w:rsidR="004360F4">
        <w:rPr>
          <w:noProof/>
          <w:lang w:val="es-ES"/>
        </w:rPr>
        <w:t>82</w:t>
      </w:r>
      <w:r w:rsidRPr="00232EBB">
        <w:rPr>
          <w:noProof/>
          <w:lang w:val="es-ES"/>
        </w:rPr>
        <w:t>,</w:t>
      </w:r>
      <w:r w:rsidR="004360F4">
        <w:rPr>
          <w:noProof/>
          <w:lang w:val="es-ES"/>
        </w:rPr>
        <w:t>437</w:t>
      </w:r>
      <w:r w:rsidRPr="00232EBB">
        <w:rPr>
          <w:noProof/>
          <w:lang w:val="es-ES"/>
        </w:rPr>
        <w:t xml:space="preserve"> certificaciones, divididas en dos categorías: automática y manual. En ambas categorías se destacan las cifras y resultados de satisfacción de los usuarios que supera el </w:t>
      </w:r>
      <w:r w:rsidR="00221654" w:rsidRPr="00232EBB">
        <w:rPr>
          <w:noProof/>
          <w:lang w:val="es-ES"/>
        </w:rPr>
        <w:t>93</w:t>
      </w:r>
      <w:r w:rsidRPr="00232EBB">
        <w:rPr>
          <w:noProof/>
          <w:lang w:val="es-ES"/>
        </w:rPr>
        <w:t>%, gracias a la eficiencia de del servicio, la facilidad de uso del portal en línea, la rapidez en la emisión, la disponibilidad a través de cualquier dispositivo tecnológico y la minimización de posibilidad de errores en la información por intervención humana</w:t>
      </w:r>
      <w:r w:rsidR="00501167" w:rsidRPr="00232EBB">
        <w:rPr>
          <w:noProof/>
          <w:lang w:val="es-ES"/>
        </w:rPr>
        <w:t>.</w:t>
      </w:r>
    </w:p>
    <w:p w14:paraId="763CED94" w14:textId="5261F6E8" w:rsidR="00862F3D" w:rsidRPr="00232EBB" w:rsidRDefault="00862F3D" w:rsidP="00862F3D">
      <w:pPr>
        <w:spacing w:before="240" w:after="0" w:line="360" w:lineRule="auto"/>
        <w:jc w:val="both"/>
        <w:rPr>
          <w:noProof/>
          <w:lang w:val="es-ES"/>
        </w:rPr>
      </w:pPr>
    </w:p>
    <w:p w14:paraId="5D7D6DF0" w14:textId="6608E315" w:rsidR="00256FFA" w:rsidRPr="00232EBB" w:rsidRDefault="004360F4" w:rsidP="00256FFA">
      <w:pPr>
        <w:spacing w:afterLines="160" w:after="384" w:line="360" w:lineRule="auto"/>
        <w:rPr>
          <w:rFonts w:eastAsia="Calibri"/>
          <w:noProof/>
          <w:color w:val="4C4747"/>
          <w:sz w:val="18"/>
          <w:szCs w:val="18"/>
          <w:lang w:val="es-DO"/>
        </w:rPr>
      </w:pPr>
      <w:r>
        <w:rPr>
          <w:noProof/>
        </w:rPr>
        <w:drawing>
          <wp:inline distT="0" distB="0" distL="0" distR="0" wp14:anchorId="7DFC8CDE" wp14:editId="4196E9FA">
            <wp:extent cx="5029200" cy="1927860"/>
            <wp:effectExtent l="0" t="0" r="0" b="0"/>
            <wp:docPr id="1039677766" name="Picture 1" descr="A graph of blue rectangular bars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677766" name="Picture 1" descr="A graph of blue rectangular bars with white text&#10;&#10;Description automatically generated"/>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29200" cy="1927860"/>
                    </a:xfrm>
                    <a:prstGeom prst="rect">
                      <a:avLst/>
                    </a:prstGeom>
                    <a:noFill/>
                  </pic:spPr>
                </pic:pic>
              </a:graphicData>
            </a:graphic>
          </wp:inline>
        </w:drawing>
      </w:r>
      <w:r w:rsidR="00256FFA" w:rsidRPr="00232EBB">
        <w:rPr>
          <w:rFonts w:eastAsia="Calibri"/>
          <w:b/>
          <w:bCs/>
          <w:noProof/>
          <w:color w:val="7B7B7B" w:themeColor="accent3" w:themeShade="BF"/>
          <w:sz w:val="18"/>
          <w:szCs w:val="18"/>
          <w:lang w:val="es-DO"/>
        </w:rPr>
        <w:t xml:space="preserve">Gráfico </w:t>
      </w:r>
      <w:r w:rsidR="00D33457" w:rsidRPr="00232EBB">
        <w:rPr>
          <w:rFonts w:eastAsia="Calibri"/>
          <w:b/>
          <w:bCs/>
          <w:noProof/>
          <w:color w:val="7B7B7B" w:themeColor="accent3" w:themeShade="BF"/>
          <w:sz w:val="18"/>
          <w:szCs w:val="18"/>
          <w:lang w:val="es-DO"/>
        </w:rPr>
        <w:t>3</w:t>
      </w:r>
      <w:r w:rsidR="00256FFA" w:rsidRPr="00232EBB">
        <w:rPr>
          <w:rFonts w:eastAsia="Calibri"/>
          <w:noProof/>
          <w:color w:val="7B7B7B" w:themeColor="accent3" w:themeShade="BF"/>
          <w:lang w:val="es-DO"/>
        </w:rPr>
        <w:t xml:space="preserve">: </w:t>
      </w:r>
      <w:r w:rsidR="00256FFA" w:rsidRPr="00232EBB">
        <w:rPr>
          <w:rFonts w:eastAsia="Calibri"/>
          <w:noProof/>
          <w:sz w:val="18"/>
          <w:szCs w:val="18"/>
          <w:lang w:val="es-DO"/>
        </w:rPr>
        <w:t>Certificaciones procesadas</w:t>
      </w:r>
      <w:r w:rsidR="007848B5" w:rsidRPr="00232EBB">
        <w:rPr>
          <w:rFonts w:eastAsia="Calibri"/>
          <w:noProof/>
          <w:sz w:val="18"/>
          <w:szCs w:val="18"/>
          <w:lang w:val="es-DO"/>
        </w:rPr>
        <w:t>.</w:t>
      </w:r>
    </w:p>
    <w:p w14:paraId="2DCD244A" w14:textId="77777777" w:rsidR="00862F3D" w:rsidRPr="00232EBB" w:rsidRDefault="00862F3D" w:rsidP="00862F3D">
      <w:pPr>
        <w:pStyle w:val="Heading1"/>
        <w:jc w:val="both"/>
        <w:rPr>
          <w:rFonts w:cs="Times New Roman"/>
          <w:spacing w:val="0"/>
          <w:sz w:val="24"/>
          <w:szCs w:val="24"/>
          <w:lang w:val="es-DO"/>
        </w:rPr>
      </w:pPr>
      <w:bookmarkStart w:id="61" w:name="_Toc171677826"/>
      <w:bookmarkStart w:id="62" w:name="_Toc172118669"/>
      <w:bookmarkStart w:id="63" w:name="_Toc172119832"/>
      <w:bookmarkStart w:id="64" w:name="_Toc172120165"/>
      <w:bookmarkStart w:id="65" w:name="_Toc172121383"/>
      <w:bookmarkStart w:id="66" w:name="_Toc216952217"/>
      <w:r w:rsidRPr="00232EBB">
        <w:rPr>
          <w:rFonts w:cs="Times New Roman"/>
          <w:spacing w:val="0"/>
          <w:sz w:val="24"/>
          <w:szCs w:val="24"/>
          <w:lang w:val="es-DO"/>
        </w:rPr>
        <w:lastRenderedPageBreak/>
        <w:t>Certificaciones Manuales</w:t>
      </w:r>
      <w:bookmarkEnd w:id="61"/>
      <w:bookmarkEnd w:id="62"/>
      <w:bookmarkEnd w:id="63"/>
      <w:bookmarkEnd w:id="64"/>
      <w:bookmarkEnd w:id="65"/>
      <w:bookmarkEnd w:id="66"/>
    </w:p>
    <w:p w14:paraId="31F5E734" w14:textId="46C72432" w:rsidR="00862F3D" w:rsidRPr="00232EBB" w:rsidRDefault="00862F3D" w:rsidP="00C96522">
      <w:pPr>
        <w:spacing w:line="360" w:lineRule="auto"/>
        <w:jc w:val="both"/>
        <w:rPr>
          <w:rFonts w:eastAsia="Calibri"/>
          <w:noProof/>
          <w:lang w:val="es-DO"/>
        </w:rPr>
      </w:pPr>
      <w:r w:rsidRPr="00232EBB">
        <w:rPr>
          <w:rFonts w:eastAsia="Calibri"/>
          <w:noProof/>
          <w:lang w:val="es-DO"/>
        </w:rPr>
        <w:t xml:space="preserve">Las certificaciones manuales requieren la intervención de personal de la TSS, quienes revisan y validan la documentación presentada antes de emitir la certificación permitiendo la gestión de casos complejos que no pueden ser manejados por el sistema automático, con un trato más personalizado y adaptado a las necesidades específicas de los usuarios como lo son el Ministerio Público, la Procuraduría General de la República y otros organismos judiciales de la República Dominicana. En el año 2025 hemos gestionado un total de ochocientas cincuenta y cuatro </w:t>
      </w:r>
      <w:r w:rsidRPr="00232EBB">
        <w:rPr>
          <w:rFonts w:eastAsia="Calibri"/>
          <w:lang w:val="es-DO"/>
        </w:rPr>
        <w:t>(</w:t>
      </w:r>
      <w:r w:rsidRPr="00232EBB">
        <w:rPr>
          <w:rFonts w:eastAsia="Calibri"/>
          <w:noProof/>
          <w:lang w:val="es-DO"/>
        </w:rPr>
        <w:t>8</w:t>
      </w:r>
      <w:r w:rsidR="004360F4">
        <w:rPr>
          <w:rFonts w:eastAsia="Calibri"/>
          <w:noProof/>
          <w:lang w:val="es-DO"/>
        </w:rPr>
        <w:t>22</w:t>
      </w:r>
      <w:r w:rsidRPr="00232EBB">
        <w:rPr>
          <w:rFonts w:eastAsia="Calibri"/>
          <w:noProof/>
          <w:lang w:val="es-DO"/>
        </w:rPr>
        <w:t>) certificaciones que aportan a la gestión investigativa de las instituciones definidas para tales fines.</w:t>
      </w:r>
    </w:p>
    <w:p w14:paraId="2286012E" w14:textId="12EB6482" w:rsidR="007848B5" w:rsidRPr="00232EBB" w:rsidRDefault="00862F3D" w:rsidP="00C96522">
      <w:pPr>
        <w:spacing w:before="240" w:line="360" w:lineRule="auto"/>
        <w:jc w:val="both"/>
        <w:rPr>
          <w:rFonts w:eastAsia="Calibri"/>
          <w:noProof/>
          <w:lang w:val="es-DO"/>
        </w:rPr>
      </w:pPr>
      <w:r w:rsidRPr="00232EBB">
        <w:rPr>
          <w:rFonts w:eastAsia="Calibri"/>
          <w:noProof/>
          <w:lang w:val="es-DO"/>
        </w:rPr>
        <w:t xml:space="preserve">En un análisis comparativo podemos citar que las certificaciones automáticas representan el </w:t>
      </w:r>
      <w:r w:rsidRPr="00232EBB">
        <w:rPr>
          <w:rFonts w:eastAsia="Calibri"/>
          <w:lang w:val="es-DO"/>
        </w:rPr>
        <w:t>99.</w:t>
      </w:r>
      <w:r w:rsidRPr="00232EBB">
        <w:rPr>
          <w:rFonts w:eastAsia="Calibri"/>
          <w:noProof/>
          <w:lang w:val="es-DO"/>
        </w:rPr>
        <w:t>9</w:t>
      </w:r>
      <w:r w:rsidR="004360F4">
        <w:rPr>
          <w:rFonts w:eastAsia="Calibri"/>
          <w:noProof/>
          <w:lang w:val="es-DO"/>
        </w:rPr>
        <w:t>5</w:t>
      </w:r>
      <w:r w:rsidRPr="00232EBB">
        <w:rPr>
          <w:rFonts w:eastAsia="Calibri"/>
          <w:lang w:val="es-DO"/>
        </w:rPr>
        <w:t>%</w:t>
      </w:r>
      <w:r w:rsidRPr="00232EBB">
        <w:rPr>
          <w:rFonts w:eastAsia="Calibri"/>
          <w:noProof/>
          <w:lang w:val="es-DO"/>
        </w:rPr>
        <w:t xml:space="preserve"> del total de certificaciones gestionadas, mientras que las manuales apenas el </w:t>
      </w:r>
      <w:r w:rsidRPr="00232EBB">
        <w:rPr>
          <w:rFonts w:eastAsia="Calibri"/>
          <w:lang w:val="es-DO"/>
        </w:rPr>
        <w:t>0.</w:t>
      </w:r>
      <w:r w:rsidRPr="00232EBB">
        <w:rPr>
          <w:rFonts w:eastAsia="Calibri"/>
          <w:noProof/>
          <w:lang w:val="es-DO"/>
        </w:rPr>
        <w:t>0</w:t>
      </w:r>
      <w:r w:rsidR="004360F4">
        <w:rPr>
          <w:rFonts w:eastAsia="Calibri"/>
          <w:noProof/>
          <w:lang w:val="es-DO"/>
        </w:rPr>
        <w:t>5</w:t>
      </w:r>
      <w:r w:rsidRPr="00232EBB">
        <w:rPr>
          <w:rFonts w:eastAsia="Calibri"/>
          <w:lang w:val="es-DO"/>
        </w:rPr>
        <w:t>%</w:t>
      </w:r>
      <w:r w:rsidRPr="00232EBB">
        <w:rPr>
          <w:rFonts w:eastAsia="Calibri"/>
          <w:noProof/>
          <w:lang w:val="es-DO"/>
        </w:rPr>
        <w:t>, lo que se traduce en tendencias hacia la digitalización, automatización de procesos y uso de recursos tecnológicos como la firma digital y la entrega encriptada de los documentos, fortaleciendo a su vez la seguridad de la información de los datos.</w:t>
      </w:r>
      <w:bookmarkStart w:id="67" w:name="_Toc171677888"/>
      <w:bookmarkStart w:id="68" w:name="_Toc172118681"/>
      <w:bookmarkStart w:id="69" w:name="_Toc172119834"/>
      <w:bookmarkStart w:id="70" w:name="_Toc172120167"/>
      <w:bookmarkStart w:id="71" w:name="_Toc172121385"/>
    </w:p>
    <w:p w14:paraId="020BF6F8" w14:textId="2167B48B" w:rsidR="00862F3D" w:rsidRPr="00232EBB" w:rsidRDefault="00862F3D" w:rsidP="00C96522">
      <w:pPr>
        <w:pStyle w:val="Heading1"/>
        <w:spacing w:after="160"/>
        <w:jc w:val="both"/>
        <w:rPr>
          <w:rFonts w:cs="Times New Roman"/>
          <w:spacing w:val="0"/>
          <w:sz w:val="24"/>
          <w:szCs w:val="24"/>
          <w:lang w:val="es-DO"/>
        </w:rPr>
      </w:pPr>
      <w:bookmarkStart w:id="72" w:name="_Toc216952218"/>
      <w:r w:rsidRPr="00232EBB">
        <w:rPr>
          <w:rFonts w:cs="Times New Roman"/>
          <w:spacing w:val="0"/>
          <w:sz w:val="24"/>
          <w:szCs w:val="24"/>
          <w:lang w:val="es-DO"/>
        </w:rPr>
        <w:t>Asignación de Números de Seguridad Social</w:t>
      </w:r>
      <w:bookmarkEnd w:id="67"/>
      <w:bookmarkEnd w:id="68"/>
      <w:bookmarkEnd w:id="69"/>
      <w:bookmarkEnd w:id="70"/>
      <w:bookmarkEnd w:id="71"/>
      <w:bookmarkEnd w:id="72"/>
      <w:r w:rsidRPr="00232EBB">
        <w:rPr>
          <w:rFonts w:cs="Times New Roman"/>
          <w:spacing w:val="0"/>
          <w:sz w:val="24"/>
          <w:szCs w:val="24"/>
          <w:lang w:val="es-DO"/>
        </w:rPr>
        <w:t> </w:t>
      </w:r>
    </w:p>
    <w:p w14:paraId="200E392D" w14:textId="77777777" w:rsidR="00862F3D" w:rsidRPr="00232EBB" w:rsidRDefault="00862F3D" w:rsidP="00C96522">
      <w:pPr>
        <w:pStyle w:val="Heading1"/>
        <w:spacing w:before="0" w:after="160"/>
        <w:jc w:val="both"/>
        <w:rPr>
          <w:rFonts w:cs="Times New Roman"/>
          <w:spacing w:val="0"/>
          <w:sz w:val="24"/>
          <w:szCs w:val="24"/>
          <w:lang w:val="es-DO"/>
        </w:rPr>
      </w:pPr>
      <w:bookmarkStart w:id="73" w:name="_Toc171677889"/>
      <w:bookmarkStart w:id="74" w:name="_Toc172118682"/>
      <w:bookmarkStart w:id="75" w:name="_Toc172119835"/>
      <w:bookmarkStart w:id="76" w:name="_Toc172120168"/>
      <w:bookmarkStart w:id="77" w:name="_Toc172121386"/>
      <w:bookmarkStart w:id="78" w:name="_Toc216952219"/>
      <w:r w:rsidRPr="00232EBB">
        <w:rPr>
          <w:rFonts w:cs="Times New Roman"/>
          <w:spacing w:val="0"/>
          <w:sz w:val="24"/>
          <w:szCs w:val="24"/>
          <w:lang w:val="es-DO"/>
        </w:rPr>
        <w:t>Contexto y Función del Número de Seguridad Social (NSS)</w:t>
      </w:r>
      <w:bookmarkEnd w:id="73"/>
      <w:bookmarkEnd w:id="74"/>
      <w:bookmarkEnd w:id="75"/>
      <w:bookmarkEnd w:id="76"/>
      <w:bookmarkEnd w:id="77"/>
      <w:bookmarkEnd w:id="78"/>
      <w:r w:rsidRPr="00232EBB">
        <w:rPr>
          <w:rFonts w:cs="Times New Roman"/>
          <w:spacing w:val="0"/>
          <w:sz w:val="24"/>
          <w:szCs w:val="24"/>
          <w:lang w:val="es-DO"/>
        </w:rPr>
        <w:t> </w:t>
      </w:r>
    </w:p>
    <w:p w14:paraId="5CB425DA" w14:textId="77777777" w:rsidR="00862F3D" w:rsidRPr="00232EBB" w:rsidRDefault="00862F3D" w:rsidP="00C96522">
      <w:pPr>
        <w:spacing w:line="360" w:lineRule="auto"/>
        <w:jc w:val="both"/>
        <w:rPr>
          <w:rFonts w:eastAsia="Calibri"/>
          <w:noProof/>
          <w:lang w:val="es-DO"/>
        </w:rPr>
      </w:pPr>
      <w:r w:rsidRPr="00232EBB">
        <w:rPr>
          <w:rFonts w:eastAsia="Calibri"/>
          <w:noProof/>
          <w:lang w:val="es-DO"/>
        </w:rPr>
        <w:t>La asignación del número de seguridad social (NSS) es fundamental para la ciudadanía, ya que proporciona un identificador único que facilita su afiliación al Sistema Dominicano de Seguridad Social (SDSS). Este número es vital en el Régimen Contributivo, ya que permite a los empleadores registrar a sus trabajadores y gestionar el pago de los aportes y contribuciones a los seguros establecidos por la Ley no. 87-01 tales como: </w:t>
      </w:r>
    </w:p>
    <w:p w14:paraId="061CF703" w14:textId="77777777" w:rsidR="00862F3D" w:rsidRPr="00232EBB" w:rsidRDefault="00862F3D" w:rsidP="00C96522">
      <w:pPr>
        <w:pStyle w:val="ListParagraph"/>
        <w:numPr>
          <w:ilvl w:val="0"/>
          <w:numId w:val="42"/>
        </w:numPr>
        <w:spacing w:before="240"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lastRenderedPageBreak/>
        <w:t>Seguro Familiar de Salud (SFS): Cubre los servicios de salud de los trabajadores y sus dependientes. </w:t>
      </w:r>
    </w:p>
    <w:p w14:paraId="203CE743" w14:textId="77777777" w:rsidR="00862F3D" w:rsidRPr="00232EBB" w:rsidRDefault="00862F3D" w:rsidP="00C96522">
      <w:pPr>
        <w:pStyle w:val="ListParagraph"/>
        <w:numPr>
          <w:ilvl w:val="0"/>
          <w:numId w:val="42"/>
        </w:numPr>
        <w:spacing w:before="240"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Seguro de Vejez, Discapacidad y Sobrevivencia (SVDS): Ofrece pensiones y beneficios en casos de jubilación, discapacidad o muerte del afiliado. </w:t>
      </w:r>
    </w:p>
    <w:p w14:paraId="5B80BF84" w14:textId="77777777" w:rsidR="00862F3D" w:rsidRPr="00232EBB" w:rsidRDefault="00862F3D" w:rsidP="00C96522">
      <w:pPr>
        <w:pStyle w:val="ListParagraph"/>
        <w:numPr>
          <w:ilvl w:val="0"/>
          <w:numId w:val="42"/>
        </w:numPr>
        <w:spacing w:before="240"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Seguro de Riesgos Laborales (SRL): Protege a los trabajadores en caso de accidentes laborales y enfermedades profesionales. </w:t>
      </w:r>
    </w:p>
    <w:p w14:paraId="75402469" w14:textId="77777777" w:rsidR="00862F3D" w:rsidRPr="00232EBB" w:rsidRDefault="00862F3D" w:rsidP="00C96522">
      <w:pPr>
        <w:pStyle w:val="ListParagraph"/>
        <w:numPr>
          <w:ilvl w:val="0"/>
          <w:numId w:val="42"/>
        </w:numPr>
        <w:spacing w:before="240"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Fondo Nacional de Atención Médica por Accidentes de Tránsito (FONAMAT): Asegura la atención médica para las víctimas de accidentes de tránsito. </w:t>
      </w:r>
      <w:bookmarkStart w:id="79" w:name="_Toc171677890"/>
    </w:p>
    <w:p w14:paraId="38C1BAD8" w14:textId="77777777" w:rsidR="00862F3D" w:rsidRPr="00232EBB" w:rsidRDefault="00862F3D" w:rsidP="00C96522">
      <w:pPr>
        <w:pStyle w:val="Heading1"/>
        <w:spacing w:after="160"/>
        <w:jc w:val="both"/>
        <w:rPr>
          <w:rFonts w:cs="Times New Roman"/>
          <w:spacing w:val="0"/>
          <w:sz w:val="24"/>
          <w:szCs w:val="24"/>
          <w:lang w:val="es-DO"/>
        </w:rPr>
      </w:pPr>
      <w:bookmarkStart w:id="80" w:name="_Toc172118683"/>
      <w:bookmarkStart w:id="81" w:name="_Toc172119836"/>
      <w:bookmarkStart w:id="82" w:name="_Toc172120169"/>
      <w:bookmarkStart w:id="83" w:name="_Toc172121387"/>
      <w:bookmarkStart w:id="84" w:name="_Toc216952220"/>
      <w:r w:rsidRPr="00232EBB">
        <w:rPr>
          <w:rFonts w:cs="Times New Roman"/>
          <w:spacing w:val="0"/>
          <w:sz w:val="24"/>
          <w:szCs w:val="24"/>
          <w:lang w:val="es-DO"/>
        </w:rPr>
        <w:t>Datos de Asignación de NSS en 202</w:t>
      </w:r>
      <w:bookmarkEnd w:id="79"/>
      <w:bookmarkEnd w:id="80"/>
      <w:bookmarkEnd w:id="81"/>
      <w:bookmarkEnd w:id="82"/>
      <w:bookmarkEnd w:id="83"/>
      <w:r w:rsidRPr="00232EBB">
        <w:rPr>
          <w:rFonts w:cs="Times New Roman"/>
          <w:spacing w:val="0"/>
          <w:sz w:val="24"/>
          <w:szCs w:val="24"/>
          <w:lang w:val="es-DO"/>
        </w:rPr>
        <w:t>5</w:t>
      </w:r>
      <w:bookmarkEnd w:id="84"/>
      <w:r w:rsidRPr="00232EBB">
        <w:rPr>
          <w:rFonts w:cs="Times New Roman"/>
          <w:spacing w:val="0"/>
          <w:sz w:val="24"/>
          <w:szCs w:val="24"/>
          <w:lang w:val="es-DO"/>
        </w:rPr>
        <w:t> </w:t>
      </w:r>
    </w:p>
    <w:p w14:paraId="7B29BD1E" w14:textId="77777777" w:rsidR="00862F3D" w:rsidRPr="00232EBB" w:rsidRDefault="00862F3D" w:rsidP="00C96522">
      <w:pPr>
        <w:pStyle w:val="Heading1"/>
        <w:spacing w:after="160"/>
        <w:jc w:val="both"/>
        <w:rPr>
          <w:rFonts w:cs="Times New Roman"/>
          <w:spacing w:val="0"/>
          <w:sz w:val="24"/>
          <w:szCs w:val="24"/>
          <w:lang w:val="es-DO"/>
        </w:rPr>
      </w:pPr>
      <w:bookmarkStart w:id="85" w:name="_Toc216952221"/>
      <w:r w:rsidRPr="00232EBB">
        <w:rPr>
          <w:rFonts w:cs="Times New Roman"/>
          <w:spacing w:val="0"/>
          <w:sz w:val="24"/>
          <w:szCs w:val="24"/>
          <w:lang w:val="es-DO"/>
        </w:rPr>
        <w:t>Asignación Número de Seguridad Social</w:t>
      </w:r>
      <w:bookmarkEnd w:id="85"/>
    </w:p>
    <w:p w14:paraId="0B492123" w14:textId="7403E451" w:rsidR="00862F3D" w:rsidRPr="00232EBB" w:rsidRDefault="00862F3D" w:rsidP="00C96522">
      <w:pPr>
        <w:spacing w:line="360" w:lineRule="auto"/>
        <w:jc w:val="both"/>
        <w:rPr>
          <w:rFonts w:eastAsia="Calibri"/>
          <w:noProof/>
          <w:lang w:val="es-DO"/>
        </w:rPr>
      </w:pPr>
      <w:r w:rsidRPr="00232EBB">
        <w:rPr>
          <w:rFonts w:eastAsia="Calibri"/>
          <w:noProof/>
          <w:lang w:val="es-DO"/>
        </w:rPr>
        <w:t>Durante el año 2025, la TSS, a través del Departamento de Trámites y Servicios, procesó un total de 1</w:t>
      </w:r>
      <w:r w:rsidR="004360F4">
        <w:rPr>
          <w:rFonts w:eastAsia="Calibri"/>
          <w:noProof/>
          <w:lang w:val="es-DO"/>
        </w:rPr>
        <w:t>8</w:t>
      </w:r>
      <w:r w:rsidRPr="00232EBB">
        <w:rPr>
          <w:rFonts w:eastAsia="Calibri"/>
          <w:noProof/>
          <w:lang w:val="es-DO"/>
        </w:rPr>
        <w:t>,</w:t>
      </w:r>
      <w:r w:rsidR="004360F4">
        <w:rPr>
          <w:rFonts w:eastAsia="Calibri"/>
          <w:noProof/>
          <w:lang w:val="es-DO"/>
        </w:rPr>
        <w:t>910</w:t>
      </w:r>
      <w:r w:rsidRPr="00232EBB">
        <w:rPr>
          <w:rFonts w:eastAsia="Calibri"/>
          <w:noProof/>
          <w:lang w:val="es-DO"/>
        </w:rPr>
        <w:t xml:space="preserve"> nuevos números de seguridad social. Esta cifra refleja el continuo esfuerzo y capacidad operativa institucional para integrar a nuevos trabajadores en el sistema, garantizando que estos tengan acceso a los beneficios y protecciones que ofrece el Sistema de Seguridad Social.  </w:t>
      </w:r>
    </w:p>
    <w:p w14:paraId="0F88EB4C" w14:textId="13BEB529" w:rsidR="00862F3D" w:rsidRPr="00232EBB" w:rsidRDefault="003E23BA" w:rsidP="00862F3D">
      <w:pPr>
        <w:spacing w:after="0"/>
        <w:jc w:val="center"/>
      </w:pPr>
      <w:r>
        <w:rPr>
          <w:rFonts w:eastAsia="Calibri"/>
          <w:noProof/>
          <w:lang w:val="es-DO"/>
        </w:rPr>
        <w:lastRenderedPageBreak/>
        <w:drawing>
          <wp:inline distT="0" distB="0" distL="0" distR="0" wp14:anchorId="58FEB688" wp14:editId="72343F7E">
            <wp:extent cx="3226087" cy="3638550"/>
            <wp:effectExtent l="0" t="0" r="0" b="0"/>
            <wp:docPr id="2761892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50811" cy="3666435"/>
                    </a:xfrm>
                    <a:prstGeom prst="rect">
                      <a:avLst/>
                    </a:prstGeom>
                    <a:noFill/>
                  </pic:spPr>
                </pic:pic>
              </a:graphicData>
            </a:graphic>
          </wp:inline>
        </w:drawing>
      </w:r>
    </w:p>
    <w:p w14:paraId="12B78333" w14:textId="6703B309" w:rsidR="00862F3D" w:rsidRPr="00232EBB" w:rsidRDefault="00862F3D" w:rsidP="00862F3D">
      <w:pPr>
        <w:spacing w:after="0" w:line="360" w:lineRule="auto"/>
        <w:jc w:val="both"/>
        <w:rPr>
          <w:rFonts w:eastAsia="Calibri"/>
          <w:noProof/>
          <w:sz w:val="22"/>
          <w:szCs w:val="22"/>
          <w:lang w:val="es-DO"/>
        </w:rPr>
      </w:pPr>
      <w:r w:rsidRPr="00232EBB">
        <w:rPr>
          <w:rFonts w:eastAsia="Calibri"/>
          <w:noProof/>
          <w:sz w:val="22"/>
          <w:szCs w:val="22"/>
          <w:lang w:val="es-DO"/>
        </w:rPr>
        <w:t xml:space="preserve">                                    </w:t>
      </w:r>
      <w:r w:rsidRPr="00232EBB">
        <w:rPr>
          <w:rFonts w:eastAsia="Calibri"/>
          <w:b/>
          <w:bCs/>
          <w:noProof/>
          <w:sz w:val="18"/>
          <w:szCs w:val="18"/>
          <w:lang w:val="es-DO"/>
        </w:rPr>
        <w:t xml:space="preserve">Gráfico </w:t>
      </w:r>
      <w:r w:rsidR="00256FFA" w:rsidRPr="00232EBB">
        <w:rPr>
          <w:rFonts w:eastAsia="Calibri"/>
          <w:b/>
          <w:bCs/>
          <w:noProof/>
          <w:sz w:val="18"/>
          <w:szCs w:val="18"/>
          <w:lang w:val="es-DO"/>
        </w:rPr>
        <w:t>4</w:t>
      </w:r>
      <w:r w:rsidRPr="00232EBB">
        <w:rPr>
          <w:rFonts w:eastAsia="Calibri"/>
          <w:noProof/>
          <w:sz w:val="18"/>
          <w:szCs w:val="18"/>
          <w:lang w:val="es-DO"/>
        </w:rPr>
        <w:t>: Asignación NSS</w:t>
      </w:r>
    </w:p>
    <w:p w14:paraId="444B6C5C" w14:textId="77777777" w:rsidR="002D2273" w:rsidRPr="00232EBB" w:rsidRDefault="00862F3D" w:rsidP="00C96522">
      <w:pPr>
        <w:pStyle w:val="Heading1"/>
        <w:spacing w:before="0" w:after="240"/>
        <w:jc w:val="both"/>
        <w:rPr>
          <w:rFonts w:cs="Times New Roman"/>
          <w:spacing w:val="0"/>
          <w:sz w:val="24"/>
          <w:szCs w:val="24"/>
          <w:lang w:val="es-DO"/>
        </w:rPr>
      </w:pPr>
      <w:bookmarkStart w:id="86" w:name="_Toc171677891"/>
      <w:bookmarkStart w:id="87" w:name="_Toc172118684"/>
      <w:bookmarkStart w:id="88" w:name="_Toc172119837"/>
      <w:bookmarkStart w:id="89" w:name="_Toc172120170"/>
      <w:bookmarkStart w:id="90" w:name="_Toc172121388"/>
      <w:bookmarkStart w:id="91" w:name="_Toc216952222"/>
      <w:r w:rsidRPr="00232EBB">
        <w:rPr>
          <w:rFonts w:cs="Times New Roman"/>
          <w:spacing w:val="0"/>
          <w:sz w:val="24"/>
          <w:szCs w:val="24"/>
          <w:lang w:val="es-DO"/>
        </w:rPr>
        <w:t>Importancia de la Asignación de NSS</w:t>
      </w:r>
      <w:bookmarkEnd w:id="86"/>
      <w:bookmarkEnd w:id="87"/>
      <w:bookmarkEnd w:id="88"/>
      <w:bookmarkEnd w:id="89"/>
      <w:bookmarkEnd w:id="90"/>
      <w:bookmarkEnd w:id="91"/>
      <w:r w:rsidRPr="00232EBB">
        <w:rPr>
          <w:rFonts w:cs="Times New Roman"/>
          <w:spacing w:val="0"/>
          <w:sz w:val="24"/>
          <w:szCs w:val="24"/>
          <w:lang w:val="es-DO"/>
        </w:rPr>
        <w:t> </w:t>
      </w:r>
    </w:p>
    <w:p w14:paraId="649AE503" w14:textId="68B008B8" w:rsidR="00862F3D" w:rsidRPr="00232EBB" w:rsidRDefault="00862F3D" w:rsidP="00232EBB">
      <w:pPr>
        <w:spacing w:line="360" w:lineRule="auto"/>
        <w:jc w:val="both"/>
        <w:rPr>
          <w:rFonts w:eastAsia="Calibri"/>
          <w:noProof/>
          <w:lang w:val="es-DO"/>
        </w:rPr>
      </w:pPr>
      <w:r w:rsidRPr="00232EBB">
        <w:rPr>
          <w:rFonts w:eastAsia="Calibri"/>
          <w:noProof/>
          <w:lang w:val="es-DO"/>
        </w:rPr>
        <w:t>La asignación de estos números es crucial para asegurar una gestión eficiente y un acceso efectivo a los servicios y beneficios del SDSS, pues con el NSS, los empleadores pueden cumplir con sus obligaciones legales, y los trabajadores pueden recibir además los beneficios de inclusión a su núcleo familiar de salud a cónyuge, hijos y padres y a través de sus cotizaciones, poder disfrutar de los subsidios de enfermedad común, maternidad, lactancia y garantizarles mejor garantías ciudadanas como lo establece nuestra Constitución. </w:t>
      </w:r>
    </w:p>
    <w:p w14:paraId="25508D84" w14:textId="77777777" w:rsidR="00862F3D" w:rsidRPr="00232EBB" w:rsidRDefault="00862F3D" w:rsidP="00C96522">
      <w:pPr>
        <w:pStyle w:val="Heading1"/>
        <w:spacing w:after="240"/>
        <w:jc w:val="both"/>
        <w:rPr>
          <w:rFonts w:cs="Times New Roman"/>
          <w:spacing w:val="0"/>
          <w:sz w:val="24"/>
          <w:szCs w:val="24"/>
          <w:lang w:val="es-DO"/>
        </w:rPr>
      </w:pPr>
      <w:bookmarkStart w:id="92" w:name="_Toc172118686"/>
      <w:bookmarkStart w:id="93" w:name="_Toc172119839"/>
      <w:bookmarkStart w:id="94" w:name="_Toc172120172"/>
      <w:bookmarkStart w:id="95" w:name="_Toc172121390"/>
      <w:bookmarkStart w:id="96" w:name="_Toc216952223"/>
      <w:r w:rsidRPr="00232EBB">
        <w:rPr>
          <w:rFonts w:cs="Times New Roman"/>
          <w:spacing w:val="0"/>
          <w:sz w:val="24"/>
          <w:szCs w:val="24"/>
          <w:lang w:val="es-DO"/>
        </w:rPr>
        <w:t>Capacitaciones a empleadores</w:t>
      </w:r>
      <w:bookmarkEnd w:id="92"/>
      <w:bookmarkEnd w:id="93"/>
      <w:bookmarkEnd w:id="94"/>
      <w:bookmarkEnd w:id="95"/>
      <w:bookmarkEnd w:id="96"/>
    </w:p>
    <w:p w14:paraId="1E51CA3C" w14:textId="7E6F771F" w:rsidR="00862F3D" w:rsidRPr="00232EBB" w:rsidRDefault="00862F3D" w:rsidP="00232EBB">
      <w:pPr>
        <w:spacing w:line="360" w:lineRule="auto"/>
        <w:jc w:val="both"/>
        <w:rPr>
          <w:rFonts w:eastAsia="Calibri"/>
          <w:noProof/>
          <w:lang w:val="es-DO"/>
        </w:rPr>
      </w:pPr>
      <w:bookmarkStart w:id="97" w:name="_Hlk217032062"/>
      <w:r w:rsidRPr="00232EBB">
        <w:rPr>
          <w:rFonts w:eastAsia="Calibri"/>
          <w:noProof/>
          <w:lang w:val="es-DO"/>
        </w:rPr>
        <w:t xml:space="preserve">Con el objetivo de reducir las brechas en el reporte y pago de aportes a la seguridad social y promover el uso adecuado de nuestras plataformas, desarrollamos más de 80 jornadas de capacitación, </w:t>
      </w:r>
      <w:r w:rsidRPr="00232EBB">
        <w:rPr>
          <w:rFonts w:eastAsia="Calibri"/>
          <w:noProof/>
          <w:lang w:val="es-DO"/>
        </w:rPr>
        <w:lastRenderedPageBreak/>
        <w:t>impactando a 6,</w:t>
      </w:r>
      <w:r w:rsidR="004360F4">
        <w:rPr>
          <w:rFonts w:eastAsia="Calibri"/>
          <w:noProof/>
          <w:lang w:val="es-DO"/>
        </w:rPr>
        <w:t>96</w:t>
      </w:r>
      <w:r w:rsidRPr="00232EBB">
        <w:rPr>
          <w:rFonts w:eastAsia="Calibri"/>
          <w:noProof/>
          <w:lang w:val="es-DO"/>
        </w:rPr>
        <w:t>0 representantes, estudiantes universitarios y afiliados del SDSS. Estas acciones representaron un total de 2</w:t>
      </w:r>
      <w:r w:rsidR="004360F4">
        <w:rPr>
          <w:rFonts w:eastAsia="Calibri"/>
          <w:noProof/>
          <w:lang w:val="es-DO"/>
        </w:rPr>
        <w:t>7</w:t>
      </w:r>
      <w:r w:rsidRPr="00232EBB">
        <w:rPr>
          <w:rFonts w:eastAsia="Calibri"/>
          <w:noProof/>
          <w:lang w:val="es-DO"/>
        </w:rPr>
        <w:t>,</w:t>
      </w:r>
      <w:r w:rsidR="004360F4">
        <w:rPr>
          <w:rFonts w:eastAsia="Calibri"/>
          <w:noProof/>
          <w:lang w:val="es-DO"/>
        </w:rPr>
        <w:t>725</w:t>
      </w:r>
      <w:r w:rsidRPr="00232EBB">
        <w:rPr>
          <w:rFonts w:eastAsia="Calibri"/>
          <w:noProof/>
          <w:lang w:val="es-DO"/>
        </w:rPr>
        <w:t xml:space="preserve"> horas/hombre dedicadas a fortalecer sus conocimientos sobre el manejo del Sistema Único de Información y Recaudo (SUIR), la Oficina Virtual TSS, la Plataforma de Servicios en Línea y sus responsabilidades dentro del Sistema Dominicano de Seguridad Social.</w:t>
      </w:r>
    </w:p>
    <w:bookmarkEnd w:id="97"/>
    <w:p w14:paraId="25EF525A" w14:textId="3B512B93" w:rsidR="00704421" w:rsidRPr="00232EBB" w:rsidRDefault="00862F3D" w:rsidP="00232EBB">
      <w:pPr>
        <w:spacing w:line="360" w:lineRule="auto"/>
        <w:jc w:val="both"/>
        <w:rPr>
          <w:rFonts w:eastAsia="Calibri"/>
          <w:noProof/>
          <w:lang w:val="es-DO"/>
        </w:rPr>
      </w:pPr>
      <w:r w:rsidRPr="00232EBB">
        <w:rPr>
          <w:rFonts w:eastAsia="Calibri"/>
          <w:noProof/>
          <w:lang w:val="es-DO"/>
        </w:rPr>
        <w:t xml:space="preserve">A pesar del reto que implicó incrementar las horas invertidas en capacitación, logramos superar en un </w:t>
      </w:r>
      <w:r w:rsidR="004360F4">
        <w:rPr>
          <w:rFonts w:eastAsia="Calibri"/>
          <w:noProof/>
          <w:lang w:val="es-DO"/>
        </w:rPr>
        <w:t>73</w:t>
      </w:r>
      <w:r w:rsidRPr="00232EBB">
        <w:rPr>
          <w:rFonts w:eastAsia="Calibri"/>
          <w:noProof/>
          <w:lang w:val="es-DO"/>
        </w:rPr>
        <w:t>% la meta establecida para el año, que era de 16,000 horas/hombre.</w:t>
      </w:r>
      <w:bookmarkEnd w:id="60"/>
    </w:p>
    <w:p w14:paraId="39697D5B" w14:textId="77777777" w:rsidR="003227C2" w:rsidRPr="00232EBB" w:rsidRDefault="003227C2" w:rsidP="00C96522">
      <w:pPr>
        <w:spacing w:after="240" w:line="360" w:lineRule="auto"/>
        <w:rPr>
          <w:b/>
          <w:bCs/>
          <w:lang w:val="es-DO"/>
        </w:rPr>
      </w:pPr>
      <w:bookmarkStart w:id="98" w:name="_Toc153781771"/>
      <w:bookmarkStart w:id="99" w:name="_Toc153782118"/>
      <w:bookmarkStart w:id="100" w:name="_Toc154736698"/>
      <w:r w:rsidRPr="00232EBB">
        <w:rPr>
          <w:b/>
          <w:bCs/>
          <w:lang w:val="es-DO"/>
        </w:rPr>
        <w:t>Disponibilidad del SUIR</w:t>
      </w:r>
      <w:bookmarkEnd w:id="98"/>
      <w:bookmarkEnd w:id="99"/>
      <w:bookmarkEnd w:id="100"/>
    </w:p>
    <w:p w14:paraId="1EFAE2B7" w14:textId="39420808" w:rsidR="003227C2" w:rsidRPr="00232EBB" w:rsidRDefault="003227C2" w:rsidP="00C96522">
      <w:pPr>
        <w:spacing w:after="240" w:line="360" w:lineRule="auto"/>
        <w:jc w:val="both"/>
        <w:rPr>
          <w:lang w:val="es-ES"/>
        </w:rPr>
      </w:pPr>
      <w:r w:rsidRPr="00232EBB">
        <w:rPr>
          <w:lang w:val="es-ES"/>
        </w:rPr>
        <w:t xml:space="preserve">En relación con la disponibilidad de nuestra plataforma principal, el Sistema Único de Información y Recaudo (SUIR), nos complace informar que durante </w:t>
      </w:r>
      <w:r w:rsidR="00395BB6" w:rsidRPr="00232EBB">
        <w:rPr>
          <w:lang w:val="es-ES"/>
        </w:rPr>
        <w:t>al cierre del</w:t>
      </w:r>
      <w:r w:rsidRPr="00232EBB">
        <w:rPr>
          <w:lang w:val="es-ES"/>
        </w:rPr>
        <w:t xml:space="preserve"> 202</w:t>
      </w:r>
      <w:r w:rsidR="007823A3" w:rsidRPr="00232EBB">
        <w:rPr>
          <w:lang w:val="es-ES"/>
        </w:rPr>
        <w:t>5</w:t>
      </w:r>
      <w:r w:rsidRPr="00232EBB">
        <w:rPr>
          <w:lang w:val="es-ES"/>
        </w:rPr>
        <w:t xml:space="preserve">, hemos alcanzado un destacado desempeño del </w:t>
      </w:r>
      <w:r w:rsidR="00C4793A" w:rsidRPr="00232EBB">
        <w:rPr>
          <w:lang w:val="es-ES"/>
        </w:rPr>
        <w:t>98.93</w:t>
      </w:r>
      <w:r w:rsidRPr="00232EBB">
        <w:rPr>
          <w:lang w:val="es-ES"/>
        </w:rPr>
        <w:t>%. Este logro refleja nuestro compromiso con la eficiencia operativa y la calidad del servicio.</w:t>
      </w:r>
    </w:p>
    <w:tbl>
      <w:tblPr>
        <w:tblW w:w="7650" w:type="dxa"/>
        <w:tblInd w:w="85" w:type="dxa"/>
        <w:tblLayout w:type="fixed"/>
        <w:tblLook w:val="04A0" w:firstRow="1" w:lastRow="0" w:firstColumn="1" w:lastColumn="0" w:noHBand="0" w:noVBand="1"/>
      </w:tblPr>
      <w:tblGrid>
        <w:gridCol w:w="3420"/>
        <w:gridCol w:w="1170"/>
        <w:gridCol w:w="3060"/>
      </w:tblGrid>
      <w:tr w:rsidR="003227C2" w:rsidRPr="00232EBB" w14:paraId="455BF064" w14:textId="77777777" w:rsidTr="00A86894">
        <w:trPr>
          <w:trHeight w:val="537"/>
        </w:trPr>
        <w:tc>
          <w:tcPr>
            <w:tcW w:w="3420" w:type="dxa"/>
            <w:tcBorders>
              <w:top w:val="single" w:sz="4" w:space="0" w:color="auto"/>
              <w:left w:val="single" w:sz="4" w:space="0" w:color="auto"/>
              <w:bottom w:val="single" w:sz="4" w:space="0" w:color="auto"/>
              <w:right w:val="single" w:sz="4" w:space="0" w:color="auto"/>
            </w:tcBorders>
            <w:shd w:val="clear" w:color="auto" w:fill="1F3864" w:themeFill="accent1" w:themeFillShade="80"/>
            <w:noWrap/>
            <w:vAlign w:val="center"/>
            <w:hideMark/>
          </w:tcPr>
          <w:p w14:paraId="19D84FC3" w14:textId="4D1C7D25" w:rsidR="003227C2" w:rsidRPr="00232EBB" w:rsidRDefault="003F1875">
            <w:pPr>
              <w:pStyle w:val="xxmsonormal"/>
              <w:jc w:val="center"/>
              <w:rPr>
                <w:rFonts w:ascii="Times New Roman" w:hAnsi="Times New Roman" w:cs="Times New Roman"/>
                <w:b/>
                <w:bCs/>
                <w:color w:val="FFFFFF" w:themeColor="background1"/>
                <w:spacing w:val="20"/>
                <w:sz w:val="24"/>
                <w:szCs w:val="24"/>
                <w:lang w:eastAsia="en-US"/>
              </w:rPr>
            </w:pPr>
            <w:r w:rsidRPr="00232EBB">
              <w:rPr>
                <w:rFonts w:ascii="Times New Roman" w:hAnsi="Times New Roman" w:cs="Times New Roman"/>
                <w:b/>
                <w:bCs/>
                <w:color w:val="FFFFFF" w:themeColor="background1"/>
                <w:spacing w:val="20"/>
                <w:sz w:val="24"/>
                <w:szCs w:val="24"/>
                <w:lang w:eastAsia="en-US"/>
              </w:rPr>
              <w:t>Tiempo de Disponibilidad</w:t>
            </w:r>
          </w:p>
        </w:tc>
        <w:tc>
          <w:tcPr>
            <w:tcW w:w="1170" w:type="dxa"/>
            <w:tcBorders>
              <w:top w:val="single" w:sz="4" w:space="0" w:color="auto"/>
              <w:left w:val="nil"/>
              <w:bottom w:val="single" w:sz="4" w:space="0" w:color="auto"/>
              <w:right w:val="single" w:sz="4" w:space="0" w:color="auto"/>
            </w:tcBorders>
            <w:noWrap/>
            <w:vAlign w:val="center"/>
            <w:hideMark/>
          </w:tcPr>
          <w:p w14:paraId="1A78B80B" w14:textId="4E7E09DA" w:rsidR="003227C2" w:rsidRPr="00232EBB" w:rsidRDefault="003227C2">
            <w:pPr>
              <w:spacing w:after="0" w:line="240" w:lineRule="auto"/>
              <w:jc w:val="center"/>
              <w:rPr>
                <w:rFonts w:eastAsia="Calibri"/>
                <w:lang w:val="es-DO"/>
              </w:rPr>
            </w:pPr>
            <w:r w:rsidRPr="00232EBB">
              <w:rPr>
                <w:rFonts w:eastAsia="Calibri"/>
                <w:lang w:val="es-DO"/>
              </w:rPr>
              <w:t>98.</w:t>
            </w:r>
            <w:r w:rsidR="00B06348">
              <w:rPr>
                <w:rFonts w:eastAsia="Calibri"/>
                <w:lang w:val="es-DO"/>
              </w:rPr>
              <w:t>77</w:t>
            </w:r>
            <w:r w:rsidRPr="00232EBB">
              <w:rPr>
                <w:rFonts w:eastAsia="Calibri"/>
                <w:lang w:val="es-DO"/>
              </w:rPr>
              <w:t>%</w:t>
            </w:r>
          </w:p>
        </w:tc>
        <w:tc>
          <w:tcPr>
            <w:tcW w:w="3060" w:type="dxa"/>
            <w:tcBorders>
              <w:top w:val="single" w:sz="4" w:space="0" w:color="auto"/>
              <w:left w:val="nil"/>
              <w:bottom w:val="single" w:sz="4" w:space="0" w:color="auto"/>
              <w:right w:val="single" w:sz="4" w:space="0" w:color="000000"/>
            </w:tcBorders>
            <w:noWrap/>
            <w:vAlign w:val="center"/>
            <w:hideMark/>
          </w:tcPr>
          <w:p w14:paraId="24394D6C" w14:textId="78995D50" w:rsidR="003227C2" w:rsidRPr="00232EBB" w:rsidRDefault="00B06348" w:rsidP="003F1875">
            <w:pPr>
              <w:spacing w:after="0" w:line="240" w:lineRule="auto"/>
              <w:rPr>
                <w:rFonts w:eastAsia="Calibri"/>
                <w:lang w:val="es-DO"/>
              </w:rPr>
            </w:pPr>
            <w:r>
              <w:rPr>
                <w:rFonts w:eastAsia="Calibri"/>
                <w:lang w:val="es-DO"/>
              </w:rPr>
              <w:t>8,652 horas, 26 minutos</w:t>
            </w:r>
          </w:p>
        </w:tc>
      </w:tr>
      <w:tr w:rsidR="003227C2" w:rsidRPr="00232EBB" w14:paraId="3CE3FA13" w14:textId="77777777" w:rsidTr="00A86894">
        <w:trPr>
          <w:trHeight w:val="576"/>
        </w:trPr>
        <w:tc>
          <w:tcPr>
            <w:tcW w:w="3420" w:type="dxa"/>
            <w:tcBorders>
              <w:top w:val="single" w:sz="4" w:space="0" w:color="auto"/>
              <w:left w:val="single" w:sz="4" w:space="0" w:color="auto"/>
              <w:bottom w:val="single" w:sz="4" w:space="0" w:color="auto"/>
              <w:right w:val="single" w:sz="4" w:space="0" w:color="auto"/>
            </w:tcBorders>
            <w:shd w:val="clear" w:color="auto" w:fill="1F3864" w:themeFill="accent1" w:themeFillShade="80"/>
            <w:noWrap/>
            <w:vAlign w:val="center"/>
            <w:hideMark/>
          </w:tcPr>
          <w:p w14:paraId="73220318" w14:textId="01EA17A7" w:rsidR="003227C2" w:rsidRPr="00232EBB" w:rsidRDefault="003F1875">
            <w:pPr>
              <w:pStyle w:val="xxmsonormal"/>
              <w:jc w:val="center"/>
              <w:rPr>
                <w:rFonts w:ascii="Times New Roman" w:hAnsi="Times New Roman" w:cs="Times New Roman"/>
                <w:b/>
                <w:bCs/>
                <w:color w:val="FFFFFF" w:themeColor="background1"/>
                <w:spacing w:val="20"/>
                <w:sz w:val="24"/>
                <w:szCs w:val="24"/>
                <w:lang w:eastAsia="en-US"/>
              </w:rPr>
            </w:pPr>
            <w:r w:rsidRPr="00232EBB">
              <w:rPr>
                <w:rFonts w:ascii="Times New Roman" w:hAnsi="Times New Roman" w:cs="Times New Roman"/>
                <w:b/>
                <w:bCs/>
                <w:color w:val="FFFFFF" w:themeColor="background1"/>
                <w:spacing w:val="20"/>
                <w:sz w:val="24"/>
                <w:szCs w:val="24"/>
                <w:lang w:eastAsia="en-US"/>
              </w:rPr>
              <w:t>Tiempo Fuera de Servicio</w:t>
            </w:r>
          </w:p>
        </w:tc>
        <w:tc>
          <w:tcPr>
            <w:tcW w:w="1170" w:type="dxa"/>
            <w:tcBorders>
              <w:top w:val="single" w:sz="4" w:space="0" w:color="auto"/>
              <w:left w:val="nil"/>
              <w:bottom w:val="single" w:sz="4" w:space="0" w:color="auto"/>
              <w:right w:val="single" w:sz="4" w:space="0" w:color="auto"/>
            </w:tcBorders>
            <w:noWrap/>
            <w:vAlign w:val="center"/>
            <w:hideMark/>
          </w:tcPr>
          <w:p w14:paraId="7ADD9698" w14:textId="0E92408A" w:rsidR="003227C2" w:rsidRPr="00232EBB" w:rsidRDefault="003227C2">
            <w:pPr>
              <w:spacing w:after="0" w:line="240" w:lineRule="auto"/>
              <w:jc w:val="center"/>
              <w:rPr>
                <w:rFonts w:eastAsia="Calibri"/>
                <w:lang w:val="es-DO"/>
              </w:rPr>
            </w:pPr>
            <w:r w:rsidRPr="00232EBB">
              <w:rPr>
                <w:rFonts w:eastAsia="Calibri"/>
                <w:lang w:val="es-DO"/>
              </w:rPr>
              <w:t>1.</w:t>
            </w:r>
            <w:r w:rsidR="00B06348">
              <w:rPr>
                <w:rFonts w:eastAsia="Calibri"/>
                <w:lang w:val="es-DO"/>
              </w:rPr>
              <w:t>23</w:t>
            </w:r>
            <w:r w:rsidRPr="00232EBB">
              <w:rPr>
                <w:rFonts w:eastAsia="Calibri"/>
                <w:lang w:val="es-DO"/>
              </w:rPr>
              <w:t>%</w:t>
            </w:r>
          </w:p>
        </w:tc>
        <w:tc>
          <w:tcPr>
            <w:tcW w:w="3060" w:type="dxa"/>
            <w:tcBorders>
              <w:top w:val="single" w:sz="4" w:space="0" w:color="auto"/>
              <w:left w:val="nil"/>
              <w:bottom w:val="single" w:sz="4" w:space="0" w:color="auto"/>
              <w:right w:val="single" w:sz="4" w:space="0" w:color="000000"/>
            </w:tcBorders>
            <w:noWrap/>
            <w:vAlign w:val="center"/>
            <w:hideMark/>
          </w:tcPr>
          <w:p w14:paraId="21E72E32" w14:textId="707BEF2B" w:rsidR="003227C2" w:rsidRPr="00232EBB" w:rsidRDefault="00B06348" w:rsidP="003F1875">
            <w:pPr>
              <w:spacing w:after="0" w:line="240" w:lineRule="auto"/>
              <w:rPr>
                <w:rFonts w:eastAsia="Calibri"/>
                <w:lang w:val="es-DO"/>
              </w:rPr>
            </w:pPr>
            <w:r>
              <w:rPr>
                <w:rFonts w:eastAsia="Calibri"/>
                <w:lang w:val="es-DO"/>
              </w:rPr>
              <w:t>106 horas, 34 minutos</w:t>
            </w:r>
          </w:p>
        </w:tc>
      </w:tr>
    </w:tbl>
    <w:p w14:paraId="09DBCD5D" w14:textId="16F90CC6" w:rsidR="003227C2" w:rsidRPr="00232EBB" w:rsidRDefault="00B6091C" w:rsidP="003227C2">
      <w:pPr>
        <w:rPr>
          <w:rFonts w:eastAsia="Calibri"/>
          <w:sz w:val="18"/>
          <w:szCs w:val="18"/>
          <w:lang w:val="es-DO"/>
        </w:rPr>
      </w:pPr>
      <w:r w:rsidRPr="00232EBB">
        <w:rPr>
          <w:rFonts w:eastAsia="Calibri"/>
          <w:b/>
          <w:bCs/>
          <w:sz w:val="18"/>
          <w:szCs w:val="18"/>
          <w:lang w:val="es-DO"/>
        </w:rPr>
        <w:t xml:space="preserve">  </w:t>
      </w:r>
      <w:r w:rsidR="003227C2" w:rsidRPr="00232EBB">
        <w:rPr>
          <w:rFonts w:eastAsia="Calibri"/>
          <w:b/>
          <w:bCs/>
          <w:sz w:val="18"/>
          <w:szCs w:val="18"/>
          <w:lang w:val="es-DO"/>
        </w:rPr>
        <w:t>Tabla 1</w:t>
      </w:r>
      <w:r w:rsidR="00E27BAB">
        <w:rPr>
          <w:rFonts w:eastAsia="Calibri"/>
          <w:b/>
          <w:bCs/>
          <w:sz w:val="18"/>
          <w:szCs w:val="18"/>
          <w:lang w:val="es-DO"/>
        </w:rPr>
        <w:t>3</w:t>
      </w:r>
      <w:r w:rsidR="003227C2" w:rsidRPr="00232EBB">
        <w:rPr>
          <w:rFonts w:eastAsia="Calibri"/>
          <w:b/>
          <w:bCs/>
          <w:sz w:val="18"/>
          <w:szCs w:val="18"/>
          <w:lang w:val="es-DO"/>
        </w:rPr>
        <w:t>:</w:t>
      </w:r>
      <w:r w:rsidR="003227C2" w:rsidRPr="00232EBB">
        <w:rPr>
          <w:rFonts w:eastAsia="Calibri"/>
          <w:sz w:val="18"/>
          <w:szCs w:val="18"/>
          <w:lang w:val="es-DO"/>
        </w:rPr>
        <w:t xml:space="preserve"> Porcentaje y tiempo disponible del SUIR 202</w:t>
      </w:r>
      <w:r w:rsidR="007823A3" w:rsidRPr="00232EBB">
        <w:rPr>
          <w:rFonts w:eastAsia="Calibri"/>
          <w:sz w:val="18"/>
          <w:szCs w:val="18"/>
          <w:lang w:val="es-DO"/>
        </w:rPr>
        <w:t>5</w:t>
      </w:r>
      <w:r w:rsidR="003227C2" w:rsidRPr="00232EBB">
        <w:rPr>
          <w:rFonts w:eastAsia="Calibri"/>
          <w:sz w:val="18"/>
          <w:szCs w:val="18"/>
          <w:lang w:val="es-DO"/>
        </w:rPr>
        <w:t>.</w:t>
      </w:r>
    </w:p>
    <w:p w14:paraId="19912A23" w14:textId="5771B3BD" w:rsidR="003F1875" w:rsidRPr="00232EBB" w:rsidRDefault="00B06348" w:rsidP="003227C2">
      <w:pPr>
        <w:rPr>
          <w:rFonts w:eastAsia="Calibri"/>
          <w:sz w:val="18"/>
          <w:szCs w:val="18"/>
          <w:lang w:val="es-DO"/>
        </w:rPr>
      </w:pPr>
      <w:r>
        <w:rPr>
          <w:noProof/>
        </w:rPr>
        <w:drawing>
          <wp:inline distT="0" distB="0" distL="0" distR="0" wp14:anchorId="40093347" wp14:editId="2F4EEE36">
            <wp:extent cx="4450976" cy="1680882"/>
            <wp:effectExtent l="0" t="0" r="6985" b="14605"/>
            <wp:docPr id="1019843315" name="Chart 1">
              <a:extLst xmlns:a="http://schemas.openxmlformats.org/drawingml/2006/main">
                <a:ext uri="{FF2B5EF4-FFF2-40B4-BE49-F238E27FC236}">
                  <a16:creationId xmlns:a16="http://schemas.microsoft.com/office/drawing/2014/main" id="{90FDFDAF-605C-4877-9A37-C0E139A1C2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A2AE51C" w14:textId="2D39E4A5" w:rsidR="00B462AE" w:rsidRPr="00232EBB" w:rsidRDefault="003D0040" w:rsidP="003D0040">
      <w:pPr>
        <w:spacing w:line="360" w:lineRule="auto"/>
        <w:ind w:left="90"/>
        <w:rPr>
          <w:lang w:val="es-DO"/>
        </w:rPr>
      </w:pPr>
      <w:r w:rsidRPr="00232EBB">
        <w:rPr>
          <w:b/>
          <w:bCs/>
          <w:sz w:val="18"/>
          <w:szCs w:val="18"/>
          <w:lang w:val="es-DO"/>
        </w:rPr>
        <w:t xml:space="preserve">         </w:t>
      </w:r>
      <w:r w:rsidR="00DB3220" w:rsidRPr="00232EBB">
        <w:rPr>
          <w:b/>
          <w:bCs/>
          <w:sz w:val="18"/>
          <w:szCs w:val="18"/>
          <w:lang w:val="es-DO"/>
        </w:rPr>
        <w:t xml:space="preserve">Gráfico </w:t>
      </w:r>
      <w:r w:rsidR="001E35AC" w:rsidRPr="00232EBB">
        <w:rPr>
          <w:b/>
          <w:bCs/>
          <w:sz w:val="18"/>
          <w:szCs w:val="18"/>
          <w:lang w:val="es-DO"/>
        </w:rPr>
        <w:t>4</w:t>
      </w:r>
      <w:r w:rsidR="00DB3220" w:rsidRPr="00232EBB">
        <w:rPr>
          <w:sz w:val="18"/>
          <w:szCs w:val="18"/>
          <w:lang w:val="es-DO"/>
        </w:rPr>
        <w:t>: Disponibilidad del SUIR</w:t>
      </w:r>
      <w:r w:rsidR="005878DD" w:rsidRPr="00232EBB">
        <w:rPr>
          <w:sz w:val="18"/>
          <w:szCs w:val="18"/>
          <w:lang w:val="es-DO"/>
        </w:rPr>
        <w:t>.</w:t>
      </w:r>
    </w:p>
    <w:p w14:paraId="632DC4BC" w14:textId="77777777" w:rsidR="00840D69" w:rsidRPr="00232EBB" w:rsidRDefault="00840D69" w:rsidP="00FF46AB">
      <w:pPr>
        <w:spacing w:line="360" w:lineRule="auto"/>
        <w:jc w:val="both"/>
        <w:rPr>
          <w:lang w:val="es-DO"/>
        </w:rPr>
        <w:sectPr w:rsidR="00840D69" w:rsidRPr="00232EBB" w:rsidSect="00D51790">
          <w:pgSz w:w="12240" w:h="15840"/>
          <w:pgMar w:top="1440" w:right="2160" w:bottom="1440" w:left="2160" w:header="720" w:footer="720" w:gutter="0"/>
          <w:cols w:space="720"/>
          <w:docGrid w:linePitch="360"/>
        </w:sectPr>
      </w:pPr>
    </w:p>
    <w:p w14:paraId="064D59E5" w14:textId="77777777" w:rsidR="009B7F1B" w:rsidRPr="00232EBB" w:rsidRDefault="009B7F1B" w:rsidP="005878DD">
      <w:pPr>
        <w:spacing w:line="360" w:lineRule="auto"/>
        <w:rPr>
          <w:b/>
          <w:bCs/>
          <w:lang w:val="es-DO"/>
        </w:rPr>
      </w:pPr>
      <w:bookmarkStart w:id="101" w:name="_Toc153781772"/>
      <w:bookmarkStart w:id="102" w:name="_Toc153782119"/>
      <w:bookmarkStart w:id="103" w:name="_Toc154736699"/>
      <w:bookmarkStart w:id="104" w:name="_Toc184981193"/>
      <w:r w:rsidRPr="00232EBB">
        <w:rPr>
          <w:b/>
          <w:bCs/>
          <w:lang w:val="es-DO"/>
        </w:rPr>
        <w:lastRenderedPageBreak/>
        <w:t>Principales Indicadores de los Procesos Misionales:</w:t>
      </w:r>
      <w:bookmarkEnd w:id="101"/>
      <w:bookmarkEnd w:id="102"/>
      <w:bookmarkEnd w:id="103"/>
      <w:bookmarkEnd w:id="104"/>
    </w:p>
    <w:tbl>
      <w:tblPr>
        <w:tblW w:w="12600" w:type="dxa"/>
        <w:tblInd w:w="-280" w:type="dxa"/>
        <w:tblLayout w:type="fixed"/>
        <w:tblLook w:val="04A0" w:firstRow="1" w:lastRow="0" w:firstColumn="1" w:lastColumn="0" w:noHBand="0" w:noVBand="1"/>
      </w:tblPr>
      <w:tblGrid>
        <w:gridCol w:w="1710"/>
        <w:gridCol w:w="1710"/>
        <w:gridCol w:w="4140"/>
        <w:gridCol w:w="5040"/>
      </w:tblGrid>
      <w:tr w:rsidR="009B7F1B" w:rsidRPr="00232EBB" w14:paraId="065A81EF" w14:textId="77777777" w:rsidTr="00916C44">
        <w:trPr>
          <w:trHeight w:val="574"/>
          <w:tblHeader/>
        </w:trPr>
        <w:tc>
          <w:tcPr>
            <w:tcW w:w="1710" w:type="dxa"/>
            <w:tcBorders>
              <w:top w:val="single" w:sz="8" w:space="0" w:color="auto"/>
              <w:left w:val="single" w:sz="8" w:space="0" w:color="auto"/>
              <w:bottom w:val="single" w:sz="4" w:space="0" w:color="auto"/>
              <w:right w:val="single" w:sz="4" w:space="0" w:color="auto"/>
            </w:tcBorders>
            <w:shd w:val="clear" w:color="000000" w:fill="002060"/>
            <w:vAlign w:val="center"/>
            <w:hideMark/>
          </w:tcPr>
          <w:p w14:paraId="607E62F5" w14:textId="77777777" w:rsidR="009B7F1B" w:rsidRPr="00232EBB" w:rsidRDefault="009B7F1B" w:rsidP="009B7F1B">
            <w:pPr>
              <w:spacing w:after="0" w:line="240" w:lineRule="auto"/>
              <w:jc w:val="center"/>
              <w:rPr>
                <w:rFonts w:eastAsia="Times New Roman"/>
                <w:b/>
                <w:bCs/>
                <w:color w:val="FFFFFF" w:themeColor="background1"/>
                <w:spacing w:val="0"/>
                <w:sz w:val="22"/>
                <w:szCs w:val="22"/>
                <w:lang w:val="es-DO"/>
              </w:rPr>
            </w:pPr>
            <w:r w:rsidRPr="00232EBB">
              <w:rPr>
                <w:rFonts w:eastAsia="Times New Roman"/>
                <w:b/>
                <w:bCs/>
                <w:color w:val="FFFFFF" w:themeColor="background1"/>
                <w:spacing w:val="0"/>
                <w:sz w:val="22"/>
                <w:szCs w:val="22"/>
                <w:lang w:val="es-DO"/>
              </w:rPr>
              <w:t>POLÍTICA PRIORIZADA</w:t>
            </w:r>
          </w:p>
        </w:tc>
        <w:tc>
          <w:tcPr>
            <w:tcW w:w="1710" w:type="dxa"/>
            <w:tcBorders>
              <w:top w:val="single" w:sz="8" w:space="0" w:color="auto"/>
              <w:left w:val="nil"/>
              <w:bottom w:val="single" w:sz="4" w:space="0" w:color="auto"/>
              <w:right w:val="single" w:sz="4" w:space="0" w:color="auto"/>
            </w:tcBorders>
            <w:shd w:val="clear" w:color="000000" w:fill="002060"/>
            <w:vAlign w:val="center"/>
            <w:hideMark/>
          </w:tcPr>
          <w:p w14:paraId="6BA736C1" w14:textId="77777777" w:rsidR="009B7F1B" w:rsidRPr="00232EBB" w:rsidRDefault="009B7F1B" w:rsidP="009B7F1B">
            <w:pPr>
              <w:spacing w:after="0" w:line="240" w:lineRule="auto"/>
              <w:jc w:val="center"/>
              <w:rPr>
                <w:rFonts w:eastAsia="Times New Roman"/>
                <w:b/>
                <w:bCs/>
                <w:color w:val="FFFFFF" w:themeColor="background1"/>
                <w:spacing w:val="0"/>
                <w:sz w:val="22"/>
                <w:szCs w:val="22"/>
                <w:lang w:val="es-DO"/>
              </w:rPr>
            </w:pPr>
            <w:r w:rsidRPr="00232EBB">
              <w:rPr>
                <w:rFonts w:eastAsia="Times New Roman"/>
                <w:b/>
                <w:bCs/>
                <w:color w:val="FFFFFF" w:themeColor="background1"/>
                <w:spacing w:val="0"/>
                <w:sz w:val="22"/>
                <w:szCs w:val="22"/>
                <w:lang w:val="es-DO"/>
              </w:rPr>
              <w:t>RESULTADOS PNPSP</w:t>
            </w:r>
          </w:p>
        </w:tc>
        <w:tc>
          <w:tcPr>
            <w:tcW w:w="4140" w:type="dxa"/>
            <w:tcBorders>
              <w:top w:val="single" w:sz="8" w:space="0" w:color="auto"/>
              <w:left w:val="nil"/>
              <w:bottom w:val="single" w:sz="4" w:space="0" w:color="auto"/>
              <w:right w:val="single" w:sz="4" w:space="0" w:color="auto"/>
            </w:tcBorders>
            <w:shd w:val="clear" w:color="000000" w:fill="002060"/>
            <w:vAlign w:val="center"/>
            <w:hideMark/>
          </w:tcPr>
          <w:p w14:paraId="08EC7D95" w14:textId="77777777" w:rsidR="009B7F1B" w:rsidRPr="00232EBB" w:rsidRDefault="009B7F1B" w:rsidP="009B7F1B">
            <w:pPr>
              <w:spacing w:after="0" w:line="240" w:lineRule="auto"/>
              <w:jc w:val="center"/>
              <w:rPr>
                <w:rFonts w:eastAsia="Times New Roman"/>
                <w:b/>
                <w:bCs/>
                <w:color w:val="FFFFFF" w:themeColor="background1"/>
                <w:spacing w:val="0"/>
                <w:sz w:val="22"/>
                <w:szCs w:val="22"/>
                <w:lang w:val="es-DO"/>
              </w:rPr>
            </w:pPr>
            <w:r w:rsidRPr="00232EBB">
              <w:rPr>
                <w:rFonts w:eastAsia="Times New Roman"/>
                <w:b/>
                <w:bCs/>
                <w:color w:val="FFFFFF" w:themeColor="background1"/>
                <w:spacing w:val="0"/>
                <w:sz w:val="22"/>
                <w:szCs w:val="22"/>
                <w:lang w:val="es-DO"/>
              </w:rPr>
              <w:t>RESULTADOS ESTRATÉGICOS</w:t>
            </w:r>
          </w:p>
        </w:tc>
        <w:tc>
          <w:tcPr>
            <w:tcW w:w="5040" w:type="dxa"/>
            <w:tcBorders>
              <w:top w:val="single" w:sz="8" w:space="0" w:color="auto"/>
              <w:left w:val="nil"/>
              <w:bottom w:val="single" w:sz="4" w:space="0" w:color="auto"/>
              <w:right w:val="single" w:sz="8" w:space="0" w:color="auto"/>
            </w:tcBorders>
            <w:shd w:val="clear" w:color="000000" w:fill="002060"/>
            <w:vAlign w:val="center"/>
            <w:hideMark/>
          </w:tcPr>
          <w:p w14:paraId="739A6D28" w14:textId="77777777" w:rsidR="009B7F1B" w:rsidRPr="00232EBB" w:rsidRDefault="009B7F1B" w:rsidP="009B7F1B">
            <w:pPr>
              <w:spacing w:after="0" w:line="240" w:lineRule="auto"/>
              <w:jc w:val="center"/>
              <w:rPr>
                <w:rFonts w:eastAsia="Times New Roman"/>
                <w:b/>
                <w:bCs/>
                <w:color w:val="FFFFFF" w:themeColor="background1"/>
                <w:spacing w:val="0"/>
                <w:sz w:val="22"/>
                <w:szCs w:val="22"/>
                <w:lang w:val="es-DO"/>
              </w:rPr>
            </w:pPr>
            <w:r w:rsidRPr="00232EBB">
              <w:rPr>
                <w:rFonts w:eastAsia="Times New Roman"/>
                <w:b/>
                <w:bCs/>
                <w:color w:val="FFFFFF" w:themeColor="background1"/>
                <w:spacing w:val="0"/>
                <w:sz w:val="22"/>
                <w:szCs w:val="22"/>
                <w:lang w:val="es-DO"/>
              </w:rPr>
              <w:t>PRODUCTOS Y ACCIONES</w:t>
            </w:r>
          </w:p>
        </w:tc>
      </w:tr>
      <w:tr w:rsidR="009B7F1B" w:rsidRPr="004622C5" w14:paraId="58327047" w14:textId="77777777" w:rsidTr="00916C44">
        <w:trPr>
          <w:trHeight w:val="1986"/>
        </w:trPr>
        <w:tc>
          <w:tcPr>
            <w:tcW w:w="1710" w:type="dxa"/>
            <w:tcBorders>
              <w:top w:val="nil"/>
              <w:left w:val="single" w:sz="8" w:space="0" w:color="auto"/>
              <w:bottom w:val="single" w:sz="4" w:space="0" w:color="auto"/>
              <w:right w:val="single" w:sz="4" w:space="0" w:color="auto"/>
            </w:tcBorders>
            <w:vAlign w:val="center"/>
            <w:hideMark/>
          </w:tcPr>
          <w:p w14:paraId="59375E9A" w14:textId="77777777" w:rsidR="009B7F1B" w:rsidRPr="00232EBB" w:rsidRDefault="009B7F1B" w:rsidP="009B7F1B">
            <w:pPr>
              <w:spacing w:after="0" w:line="360" w:lineRule="auto"/>
              <w:jc w:val="both"/>
              <w:rPr>
                <w:rFonts w:eastAsia="Calibri"/>
                <w:lang w:val="es-DO"/>
              </w:rPr>
            </w:pPr>
            <w:r w:rsidRPr="00232EBB">
              <w:rPr>
                <w:rFonts w:eastAsia="Calibri"/>
                <w:lang w:val="es-DO"/>
              </w:rPr>
              <w:t>Acceso a salud universal</w:t>
            </w:r>
          </w:p>
        </w:tc>
        <w:tc>
          <w:tcPr>
            <w:tcW w:w="1710" w:type="dxa"/>
            <w:tcBorders>
              <w:top w:val="nil"/>
              <w:left w:val="nil"/>
              <w:bottom w:val="single" w:sz="4" w:space="0" w:color="auto"/>
              <w:right w:val="single" w:sz="4" w:space="0" w:color="auto"/>
            </w:tcBorders>
            <w:vAlign w:val="center"/>
            <w:hideMark/>
          </w:tcPr>
          <w:p w14:paraId="3C351D4D" w14:textId="77777777" w:rsidR="009B7F1B" w:rsidRPr="00232EBB" w:rsidRDefault="009B7F1B" w:rsidP="009B7F1B">
            <w:pPr>
              <w:spacing w:after="0" w:line="360" w:lineRule="auto"/>
              <w:jc w:val="both"/>
              <w:rPr>
                <w:rFonts w:eastAsia="Calibri"/>
                <w:lang w:val="es-DO"/>
              </w:rPr>
            </w:pPr>
            <w:r w:rsidRPr="00232EBB">
              <w:rPr>
                <w:rFonts w:eastAsia="Calibri"/>
                <w:lang w:val="es-DO"/>
              </w:rPr>
              <w:t>Garantizada la cobertura universal de aseguramiento en salud de la población</w:t>
            </w:r>
          </w:p>
        </w:tc>
        <w:tc>
          <w:tcPr>
            <w:tcW w:w="4140" w:type="dxa"/>
            <w:tcBorders>
              <w:top w:val="nil"/>
              <w:left w:val="nil"/>
              <w:bottom w:val="single" w:sz="4" w:space="0" w:color="auto"/>
              <w:right w:val="single" w:sz="4" w:space="0" w:color="auto"/>
            </w:tcBorders>
            <w:vAlign w:val="center"/>
            <w:hideMark/>
          </w:tcPr>
          <w:p w14:paraId="5CB1E744" w14:textId="77777777" w:rsidR="009B7F1B" w:rsidRPr="00232EBB" w:rsidRDefault="009B7F1B" w:rsidP="009B7F1B">
            <w:pPr>
              <w:spacing w:after="0" w:line="360" w:lineRule="auto"/>
              <w:jc w:val="both"/>
              <w:rPr>
                <w:rFonts w:eastAsia="Calibri"/>
                <w:lang w:val="es-DO"/>
              </w:rPr>
            </w:pPr>
            <w:r w:rsidRPr="00232EBB">
              <w:rPr>
                <w:rFonts w:eastAsia="Calibri"/>
                <w:lang w:val="es-DO"/>
              </w:rPr>
              <w:t>Disminuido los índices de evasión y omisión para el fortalecimiento del SDSS tomando acción apalancándonos sobre las alianzas estratégicas interinstitucionales, así como para el fortalecimiento de las estadísticas internas / </w:t>
            </w:r>
            <w:r w:rsidRPr="00232EBB">
              <w:rPr>
                <w:rFonts w:eastAsia="Calibri"/>
                <w:b/>
                <w:bCs/>
                <w:lang w:val="es-DO"/>
              </w:rPr>
              <w:t>Cantidad de auditorías realizadas a empleadores y unidades receptoras de fondos.</w:t>
            </w:r>
          </w:p>
        </w:tc>
        <w:tc>
          <w:tcPr>
            <w:tcW w:w="5040" w:type="dxa"/>
            <w:tcBorders>
              <w:top w:val="nil"/>
              <w:left w:val="nil"/>
              <w:bottom w:val="single" w:sz="4" w:space="0" w:color="auto"/>
              <w:right w:val="single" w:sz="8" w:space="0" w:color="auto"/>
            </w:tcBorders>
            <w:vAlign w:val="center"/>
            <w:hideMark/>
          </w:tcPr>
          <w:p w14:paraId="300202CE" w14:textId="5A680DB8" w:rsidR="009B7F1B" w:rsidRPr="00232EBB" w:rsidRDefault="009B7F1B" w:rsidP="009B7F1B">
            <w:pPr>
              <w:spacing w:after="0" w:line="360" w:lineRule="auto"/>
              <w:jc w:val="both"/>
              <w:rPr>
                <w:rFonts w:eastAsia="Calibri"/>
                <w:lang w:val="es-DO"/>
              </w:rPr>
            </w:pPr>
            <w:r w:rsidRPr="00232EBB">
              <w:rPr>
                <w:rFonts w:eastAsia="Calibri"/>
                <w:lang w:val="es-DO"/>
              </w:rPr>
              <w:t xml:space="preserve">Se realizaron </w:t>
            </w:r>
            <w:r w:rsidR="00D534E9" w:rsidRPr="00232EBB">
              <w:rPr>
                <w:rFonts w:eastAsia="Calibri"/>
                <w:lang w:val="es-DO"/>
              </w:rPr>
              <w:t>7,468</w:t>
            </w:r>
            <w:r w:rsidRPr="00232EBB">
              <w:rPr>
                <w:rFonts w:eastAsia="Calibri"/>
                <w:lang w:val="es-DO"/>
              </w:rPr>
              <w:t xml:space="preserve"> </w:t>
            </w:r>
            <w:r w:rsidR="00560EE6" w:rsidRPr="00232EBB">
              <w:rPr>
                <w:rFonts w:eastAsia="Calibri"/>
                <w:lang w:val="es-DO"/>
              </w:rPr>
              <w:t xml:space="preserve">casos de </w:t>
            </w:r>
            <w:r w:rsidR="00BC081A" w:rsidRPr="00232EBB">
              <w:rPr>
                <w:rFonts w:eastAsia="Calibri"/>
                <w:lang w:val="es-DO"/>
              </w:rPr>
              <w:t>fiscalización</w:t>
            </w:r>
            <w:r w:rsidRPr="00232EBB">
              <w:rPr>
                <w:rFonts w:eastAsia="Calibri"/>
                <w:lang w:val="es-DO"/>
              </w:rPr>
              <w:t xml:space="preserve"> durante año 202</w:t>
            </w:r>
            <w:r w:rsidR="00D534E9" w:rsidRPr="00232EBB">
              <w:rPr>
                <w:rFonts w:eastAsia="Calibri"/>
                <w:lang w:val="es-DO"/>
              </w:rPr>
              <w:t>5</w:t>
            </w:r>
            <w:r w:rsidRPr="00232EBB">
              <w:rPr>
                <w:rFonts w:eastAsia="Calibri"/>
                <w:lang w:val="es-DO"/>
              </w:rPr>
              <w:t>.</w:t>
            </w:r>
            <w:r w:rsidRPr="00232EBB">
              <w:rPr>
                <w:rFonts w:eastAsia="Calibri"/>
                <w:lang w:val="es-DO"/>
              </w:rPr>
              <w:br/>
              <w:t xml:space="preserve">Se han generado facturación de Notificación de Pagos por Auditorías por RD$ </w:t>
            </w:r>
            <w:r w:rsidR="009D373F">
              <w:rPr>
                <w:rFonts w:eastAsia="Calibri"/>
                <w:lang w:val="es-DO"/>
              </w:rPr>
              <w:t>59.7</w:t>
            </w:r>
            <w:r w:rsidRPr="00232EBB">
              <w:rPr>
                <w:rFonts w:eastAsia="Calibri"/>
                <w:lang w:val="es-DO"/>
              </w:rPr>
              <w:t xml:space="preserve"> MM, a favor del SDSS.</w:t>
            </w:r>
            <w:r w:rsidRPr="00232EBB">
              <w:rPr>
                <w:rFonts w:eastAsia="Calibri"/>
                <w:lang w:val="es-DO"/>
              </w:rPr>
              <w:br/>
            </w:r>
            <w:r w:rsidR="00B17315">
              <w:rPr>
                <w:rFonts w:eastAsia="Calibri"/>
                <w:lang w:val="es-DO"/>
              </w:rPr>
              <w:t>45</w:t>
            </w:r>
            <w:r w:rsidRPr="00232EBB">
              <w:rPr>
                <w:rFonts w:eastAsia="Calibri"/>
                <w:lang w:val="es-DO"/>
              </w:rPr>
              <w:t>%</w:t>
            </w:r>
            <w:r w:rsidR="00560EE6" w:rsidRPr="00232EBB">
              <w:rPr>
                <w:rFonts w:eastAsia="Calibri"/>
                <w:lang w:val="es-DO"/>
              </w:rPr>
              <w:t xml:space="preserve"> encontrándose</w:t>
            </w:r>
            <w:r w:rsidR="002053DE" w:rsidRPr="00232EBB">
              <w:rPr>
                <w:rFonts w:eastAsia="Calibri"/>
                <w:lang w:val="es-DO"/>
              </w:rPr>
              <w:t xml:space="preserve"> paga</w:t>
            </w:r>
            <w:r w:rsidR="00560EE6" w:rsidRPr="00232EBB">
              <w:rPr>
                <w:rFonts w:eastAsia="Calibri"/>
                <w:lang w:val="es-DO"/>
              </w:rPr>
              <w:t>das</w:t>
            </w:r>
            <w:r w:rsidR="002053DE" w:rsidRPr="00232EBB">
              <w:rPr>
                <w:rFonts w:eastAsia="Calibri"/>
                <w:lang w:val="es-DO"/>
              </w:rPr>
              <w:t xml:space="preserve"> y el </w:t>
            </w:r>
            <w:r w:rsidR="00B17315">
              <w:rPr>
                <w:rFonts w:eastAsia="Calibri"/>
                <w:lang w:val="es-DO"/>
              </w:rPr>
              <w:t>55</w:t>
            </w:r>
            <w:r w:rsidR="002053DE" w:rsidRPr="00232EBB">
              <w:rPr>
                <w:rFonts w:eastAsia="Calibri"/>
                <w:lang w:val="es-DO"/>
              </w:rPr>
              <w:t xml:space="preserve">% en </w:t>
            </w:r>
            <w:r w:rsidR="00035F71" w:rsidRPr="00232EBB">
              <w:rPr>
                <w:rFonts w:eastAsia="Calibri"/>
                <w:lang w:val="es-DO"/>
              </w:rPr>
              <w:t>estatus</w:t>
            </w:r>
            <w:r w:rsidR="002053DE" w:rsidRPr="00232EBB">
              <w:rPr>
                <w:rFonts w:eastAsia="Calibri"/>
                <w:lang w:val="es-DO"/>
              </w:rPr>
              <w:t xml:space="preserve"> vencido.</w:t>
            </w:r>
          </w:p>
        </w:tc>
      </w:tr>
      <w:tr w:rsidR="009B7F1B" w:rsidRPr="004622C5" w14:paraId="51071ACC" w14:textId="77777777" w:rsidTr="00916C44">
        <w:trPr>
          <w:trHeight w:val="566"/>
        </w:trPr>
        <w:tc>
          <w:tcPr>
            <w:tcW w:w="1710" w:type="dxa"/>
            <w:tcBorders>
              <w:top w:val="nil"/>
              <w:left w:val="single" w:sz="8" w:space="0" w:color="auto"/>
              <w:bottom w:val="single" w:sz="4" w:space="0" w:color="auto"/>
              <w:right w:val="single" w:sz="4" w:space="0" w:color="auto"/>
            </w:tcBorders>
            <w:vAlign w:val="center"/>
            <w:hideMark/>
          </w:tcPr>
          <w:p w14:paraId="220A2CA9" w14:textId="77777777" w:rsidR="009B7F1B" w:rsidRPr="00232EBB" w:rsidRDefault="009B7F1B" w:rsidP="009B7F1B">
            <w:pPr>
              <w:spacing w:after="0" w:line="360" w:lineRule="auto"/>
              <w:jc w:val="both"/>
              <w:rPr>
                <w:rFonts w:eastAsia="Calibri"/>
                <w:lang w:val="es-DO"/>
              </w:rPr>
            </w:pPr>
            <w:r w:rsidRPr="00232EBB">
              <w:rPr>
                <w:rFonts w:eastAsia="Calibri"/>
                <w:lang w:val="es-DO"/>
              </w:rPr>
              <w:t>Acceso a salud universal</w:t>
            </w:r>
          </w:p>
        </w:tc>
        <w:tc>
          <w:tcPr>
            <w:tcW w:w="1710" w:type="dxa"/>
            <w:tcBorders>
              <w:top w:val="nil"/>
              <w:left w:val="nil"/>
              <w:bottom w:val="single" w:sz="4" w:space="0" w:color="auto"/>
              <w:right w:val="single" w:sz="4" w:space="0" w:color="auto"/>
            </w:tcBorders>
            <w:vAlign w:val="center"/>
            <w:hideMark/>
          </w:tcPr>
          <w:p w14:paraId="7B601334" w14:textId="77777777" w:rsidR="009B7F1B" w:rsidRPr="00232EBB" w:rsidRDefault="009B7F1B" w:rsidP="009B7F1B">
            <w:pPr>
              <w:spacing w:after="0" w:line="360" w:lineRule="auto"/>
              <w:jc w:val="both"/>
              <w:rPr>
                <w:rFonts w:eastAsia="Calibri"/>
                <w:lang w:val="es-DO"/>
              </w:rPr>
            </w:pPr>
            <w:r w:rsidRPr="00232EBB">
              <w:rPr>
                <w:rFonts w:eastAsia="Calibri"/>
                <w:lang w:val="es-DO"/>
              </w:rPr>
              <w:t>Garantizada la cobertura universal de aseguramiento en salud de la población</w:t>
            </w:r>
          </w:p>
        </w:tc>
        <w:tc>
          <w:tcPr>
            <w:tcW w:w="4140" w:type="dxa"/>
            <w:tcBorders>
              <w:top w:val="nil"/>
              <w:left w:val="nil"/>
              <w:bottom w:val="single" w:sz="4" w:space="0" w:color="auto"/>
              <w:right w:val="single" w:sz="4" w:space="0" w:color="auto"/>
            </w:tcBorders>
            <w:vAlign w:val="center"/>
            <w:hideMark/>
          </w:tcPr>
          <w:p w14:paraId="2FCD9A7E" w14:textId="77777777" w:rsidR="009B7F1B" w:rsidRPr="00232EBB" w:rsidRDefault="009B7F1B" w:rsidP="009B7F1B">
            <w:pPr>
              <w:spacing w:after="0" w:line="360" w:lineRule="auto"/>
              <w:jc w:val="both"/>
              <w:rPr>
                <w:rFonts w:eastAsia="Calibri"/>
                <w:lang w:val="es-DO"/>
              </w:rPr>
            </w:pPr>
            <w:r w:rsidRPr="00232EBB">
              <w:rPr>
                <w:rFonts w:eastAsia="Calibri"/>
                <w:lang w:val="es-DO"/>
              </w:rPr>
              <w:t xml:space="preserve">Mayor efectividad en la ejecución del procedimiento de cobros y aplicación de multas para someter infractores </w:t>
            </w:r>
            <w:r w:rsidRPr="00232EBB">
              <w:rPr>
                <w:rFonts w:eastAsia="Calibri"/>
                <w:b/>
                <w:bCs/>
                <w:lang w:val="es-DO"/>
              </w:rPr>
              <w:t>/ Índice de Recaudo.</w:t>
            </w:r>
          </w:p>
        </w:tc>
        <w:tc>
          <w:tcPr>
            <w:tcW w:w="5040" w:type="dxa"/>
            <w:tcBorders>
              <w:top w:val="nil"/>
              <w:left w:val="nil"/>
              <w:bottom w:val="single" w:sz="4" w:space="0" w:color="auto"/>
              <w:right w:val="single" w:sz="8" w:space="0" w:color="auto"/>
            </w:tcBorders>
            <w:vAlign w:val="center"/>
            <w:hideMark/>
          </w:tcPr>
          <w:p w14:paraId="5335C659" w14:textId="0781D264" w:rsidR="009B7F1B" w:rsidRPr="00232EBB" w:rsidRDefault="002D0A83" w:rsidP="009759FB">
            <w:pPr>
              <w:spacing w:line="276" w:lineRule="auto"/>
              <w:jc w:val="both"/>
              <w:rPr>
                <w:rFonts w:eastAsia="Calibri"/>
                <w:lang w:val="es-DO"/>
              </w:rPr>
            </w:pPr>
            <w:r w:rsidRPr="00232EBB">
              <w:rPr>
                <w:rFonts w:eastAsia="Calibri"/>
                <w:lang w:val="es-DO"/>
              </w:rPr>
              <w:t xml:space="preserve">Al cierre </w:t>
            </w:r>
            <w:r w:rsidR="00C91B9A" w:rsidRPr="00232EBB">
              <w:rPr>
                <w:rFonts w:eastAsia="Calibri"/>
                <w:lang w:val="es-DO"/>
              </w:rPr>
              <w:t>del 2025</w:t>
            </w:r>
            <w:r w:rsidRPr="00232EBB">
              <w:rPr>
                <w:rFonts w:eastAsia="Calibri"/>
                <w:lang w:val="es-DO"/>
              </w:rPr>
              <w:t xml:space="preserve"> </w:t>
            </w:r>
            <w:r w:rsidR="009F3349" w:rsidRPr="00232EBB">
              <w:rPr>
                <w:rFonts w:eastAsia="Calibri"/>
                <w:lang w:val="es-DO"/>
              </w:rPr>
              <w:t xml:space="preserve">los montos recuperados en la gestión de cobranzas ascendieron a un total de </w:t>
            </w:r>
            <w:r w:rsidR="00B17315">
              <w:rPr>
                <w:rFonts w:eastAsia="Calibri"/>
                <w:lang w:val="es-DO"/>
              </w:rPr>
              <w:t>Cuarenta y Tres Mil Ochocientos Noventa y Ocho Millones Ciento Doce Mil Trescientos Ochenta Pesos Dominicanos con 08/100 (RD$43,898,112,380.08)</w:t>
            </w:r>
            <w:r w:rsidR="009F3349" w:rsidRPr="00232EBB">
              <w:rPr>
                <w:rFonts w:eastAsia="Calibri"/>
                <w:lang w:val="es-DO"/>
              </w:rPr>
              <w:t xml:space="preserve">, con un total de </w:t>
            </w:r>
            <w:r w:rsidR="00B17315">
              <w:rPr>
                <w:rFonts w:eastAsia="Calibri"/>
                <w:lang w:val="es-DO"/>
              </w:rPr>
              <w:t>554,314</w:t>
            </w:r>
            <w:r w:rsidR="009F3349" w:rsidRPr="00232EBB">
              <w:rPr>
                <w:rFonts w:eastAsia="Calibri"/>
                <w:lang w:val="es-DO"/>
              </w:rPr>
              <w:t xml:space="preserve"> notificaciones en atraso pagadas.</w:t>
            </w:r>
          </w:p>
        </w:tc>
      </w:tr>
      <w:tr w:rsidR="009B7F1B" w:rsidRPr="00232EBB" w14:paraId="0F0970F4" w14:textId="77777777" w:rsidTr="00916C44">
        <w:trPr>
          <w:trHeight w:val="2987"/>
        </w:trPr>
        <w:tc>
          <w:tcPr>
            <w:tcW w:w="1710" w:type="dxa"/>
            <w:tcBorders>
              <w:top w:val="nil"/>
              <w:left w:val="single" w:sz="8" w:space="0" w:color="auto"/>
              <w:bottom w:val="single" w:sz="4" w:space="0" w:color="auto"/>
              <w:right w:val="single" w:sz="4" w:space="0" w:color="auto"/>
            </w:tcBorders>
            <w:vAlign w:val="center"/>
          </w:tcPr>
          <w:p w14:paraId="189BF57B" w14:textId="77777777" w:rsidR="009B7F1B" w:rsidRPr="00232EBB" w:rsidRDefault="009B7F1B" w:rsidP="009B7F1B">
            <w:pPr>
              <w:spacing w:after="0" w:line="360" w:lineRule="auto"/>
              <w:jc w:val="both"/>
              <w:rPr>
                <w:rFonts w:eastAsia="Calibri"/>
                <w:lang w:val="es-DO"/>
              </w:rPr>
            </w:pPr>
            <w:r w:rsidRPr="00232EBB">
              <w:rPr>
                <w:rFonts w:eastAsia="Calibri"/>
                <w:lang w:val="es-DO"/>
              </w:rPr>
              <w:lastRenderedPageBreak/>
              <w:t>Hacia un Estado Moderno e Institucional</w:t>
            </w:r>
          </w:p>
        </w:tc>
        <w:tc>
          <w:tcPr>
            <w:tcW w:w="1710" w:type="dxa"/>
            <w:tcBorders>
              <w:top w:val="nil"/>
              <w:left w:val="nil"/>
              <w:bottom w:val="single" w:sz="4" w:space="0" w:color="auto"/>
              <w:right w:val="single" w:sz="4" w:space="0" w:color="auto"/>
            </w:tcBorders>
            <w:vAlign w:val="center"/>
          </w:tcPr>
          <w:p w14:paraId="32251C58" w14:textId="77777777" w:rsidR="009B7F1B" w:rsidRPr="00232EBB" w:rsidRDefault="009B7F1B" w:rsidP="009B7F1B">
            <w:pPr>
              <w:spacing w:after="0" w:line="360" w:lineRule="auto"/>
              <w:jc w:val="both"/>
              <w:rPr>
                <w:rFonts w:eastAsia="Calibri"/>
                <w:lang w:val="es-DO"/>
              </w:rPr>
            </w:pPr>
            <w:r w:rsidRPr="00232EBB">
              <w:rPr>
                <w:rFonts w:eastAsia="Calibri"/>
                <w:lang w:val="es-DO"/>
              </w:rPr>
              <w:t>Mejorada la calidad de los servicios públicos</w:t>
            </w:r>
          </w:p>
        </w:tc>
        <w:tc>
          <w:tcPr>
            <w:tcW w:w="4140" w:type="dxa"/>
            <w:tcBorders>
              <w:top w:val="nil"/>
              <w:left w:val="nil"/>
              <w:bottom w:val="single" w:sz="4" w:space="0" w:color="auto"/>
              <w:right w:val="single" w:sz="4" w:space="0" w:color="auto"/>
            </w:tcBorders>
            <w:vAlign w:val="center"/>
          </w:tcPr>
          <w:p w14:paraId="54BD1956" w14:textId="77777777" w:rsidR="009B7F1B" w:rsidRPr="00232EBB" w:rsidRDefault="009B7F1B" w:rsidP="009B7F1B">
            <w:pPr>
              <w:spacing w:after="0" w:line="360" w:lineRule="auto"/>
              <w:jc w:val="both"/>
              <w:rPr>
                <w:rFonts w:eastAsia="Calibri"/>
                <w:lang w:val="es-DO"/>
              </w:rPr>
            </w:pPr>
            <w:r w:rsidRPr="00232EBB">
              <w:rPr>
                <w:rFonts w:eastAsia="Calibri"/>
                <w:lang w:val="es-DO"/>
              </w:rPr>
              <w:t xml:space="preserve">Garantizado el acceso y disponibilidad de la información hacia los empleadores mediante la ampliación y mejora de los servicios a través de herramientas tecnológicas innovadoras / </w:t>
            </w:r>
            <w:r w:rsidRPr="00232EBB">
              <w:rPr>
                <w:rFonts w:eastAsia="Calibri"/>
                <w:b/>
                <w:bCs/>
                <w:lang w:val="es-DO"/>
              </w:rPr>
              <w:t>Índice de Satisfacción del Usuario</w:t>
            </w:r>
          </w:p>
        </w:tc>
        <w:tc>
          <w:tcPr>
            <w:tcW w:w="5040" w:type="dxa"/>
            <w:tcBorders>
              <w:top w:val="nil"/>
              <w:left w:val="nil"/>
              <w:bottom w:val="single" w:sz="4" w:space="0" w:color="auto"/>
              <w:right w:val="single" w:sz="8" w:space="0" w:color="auto"/>
            </w:tcBorders>
            <w:vAlign w:val="center"/>
          </w:tcPr>
          <w:p w14:paraId="7581C903" w14:textId="3508CA41" w:rsidR="009B7F1B" w:rsidRPr="00232EBB" w:rsidRDefault="009B7F1B" w:rsidP="009B7F1B">
            <w:pPr>
              <w:spacing w:after="0" w:line="360" w:lineRule="auto"/>
              <w:rPr>
                <w:rFonts w:eastAsia="Calibri"/>
                <w:lang w:val="es-DO"/>
              </w:rPr>
            </w:pPr>
            <w:r w:rsidRPr="00232EBB">
              <w:rPr>
                <w:rFonts w:eastAsia="Calibri"/>
                <w:lang w:val="es-DO"/>
              </w:rPr>
              <w:t>9</w:t>
            </w:r>
            <w:r w:rsidR="00325F40" w:rsidRPr="00232EBB">
              <w:rPr>
                <w:rFonts w:eastAsia="Calibri"/>
                <w:lang w:val="es-DO"/>
              </w:rPr>
              <w:t>3</w:t>
            </w:r>
            <w:r w:rsidRPr="00232EBB">
              <w:rPr>
                <w:rFonts w:eastAsia="Calibri"/>
                <w:lang w:val="es-DO"/>
              </w:rPr>
              <w:t>% (meta)</w:t>
            </w:r>
            <w:r w:rsidRPr="00232EBB">
              <w:rPr>
                <w:rFonts w:eastAsia="Calibri"/>
                <w:lang w:val="es-DO"/>
              </w:rPr>
              <w:br/>
              <w:t>9</w:t>
            </w:r>
            <w:r w:rsidR="00325F40" w:rsidRPr="00232EBB">
              <w:rPr>
                <w:rFonts w:eastAsia="Calibri"/>
                <w:lang w:val="es-DO"/>
              </w:rPr>
              <w:t>3</w:t>
            </w:r>
            <w:r w:rsidRPr="00232EBB">
              <w:rPr>
                <w:rFonts w:eastAsia="Calibri"/>
                <w:lang w:val="es-DO"/>
              </w:rPr>
              <w:t>% (cumplimiento)</w:t>
            </w:r>
          </w:p>
        </w:tc>
      </w:tr>
      <w:tr w:rsidR="009B7F1B" w:rsidRPr="004622C5" w14:paraId="5AECA0FA" w14:textId="77777777" w:rsidTr="00916C44">
        <w:trPr>
          <w:trHeight w:val="4787"/>
        </w:trPr>
        <w:tc>
          <w:tcPr>
            <w:tcW w:w="1710" w:type="dxa"/>
            <w:tcBorders>
              <w:top w:val="nil"/>
              <w:left w:val="single" w:sz="8" w:space="0" w:color="auto"/>
              <w:bottom w:val="single" w:sz="4" w:space="0" w:color="auto"/>
              <w:right w:val="single" w:sz="4" w:space="0" w:color="auto"/>
            </w:tcBorders>
            <w:vAlign w:val="center"/>
          </w:tcPr>
          <w:p w14:paraId="783EF3AA" w14:textId="77777777" w:rsidR="009B7F1B" w:rsidRPr="00232EBB" w:rsidRDefault="009B7F1B" w:rsidP="009B7F1B">
            <w:pPr>
              <w:spacing w:after="0" w:line="360" w:lineRule="auto"/>
              <w:jc w:val="both"/>
              <w:rPr>
                <w:rFonts w:eastAsia="Calibri"/>
                <w:lang w:val="es-DO"/>
              </w:rPr>
            </w:pPr>
            <w:r w:rsidRPr="00232EBB">
              <w:rPr>
                <w:rFonts w:eastAsia="Calibri"/>
                <w:lang w:val="es-DO"/>
              </w:rPr>
              <w:t>Acceso a salud universal</w:t>
            </w:r>
          </w:p>
        </w:tc>
        <w:tc>
          <w:tcPr>
            <w:tcW w:w="1710" w:type="dxa"/>
            <w:tcBorders>
              <w:top w:val="nil"/>
              <w:left w:val="nil"/>
              <w:bottom w:val="single" w:sz="4" w:space="0" w:color="auto"/>
              <w:right w:val="single" w:sz="4" w:space="0" w:color="auto"/>
            </w:tcBorders>
            <w:vAlign w:val="center"/>
          </w:tcPr>
          <w:p w14:paraId="2216B559" w14:textId="77777777" w:rsidR="009B7F1B" w:rsidRPr="00232EBB" w:rsidRDefault="009B7F1B" w:rsidP="009B7F1B">
            <w:pPr>
              <w:spacing w:after="0" w:line="360" w:lineRule="auto"/>
              <w:jc w:val="both"/>
              <w:rPr>
                <w:rFonts w:eastAsia="Calibri"/>
                <w:lang w:val="es-DO"/>
              </w:rPr>
            </w:pPr>
            <w:r w:rsidRPr="00232EBB">
              <w:rPr>
                <w:rFonts w:eastAsia="Calibri"/>
                <w:lang w:val="es-DO"/>
              </w:rPr>
              <w:t>Garantizada la cobertura universal de aseguramiento en salud de la población</w:t>
            </w:r>
          </w:p>
        </w:tc>
        <w:tc>
          <w:tcPr>
            <w:tcW w:w="4140" w:type="dxa"/>
            <w:tcBorders>
              <w:top w:val="nil"/>
              <w:left w:val="nil"/>
              <w:bottom w:val="single" w:sz="4" w:space="0" w:color="auto"/>
              <w:right w:val="single" w:sz="4" w:space="0" w:color="auto"/>
            </w:tcBorders>
            <w:vAlign w:val="center"/>
          </w:tcPr>
          <w:p w14:paraId="5C37E315" w14:textId="77777777" w:rsidR="009B7F1B" w:rsidRPr="00232EBB" w:rsidRDefault="009B7F1B" w:rsidP="009B7F1B">
            <w:pPr>
              <w:spacing w:after="0" w:line="360" w:lineRule="auto"/>
              <w:jc w:val="both"/>
              <w:rPr>
                <w:rFonts w:eastAsia="Calibri"/>
                <w:lang w:val="es-DO"/>
              </w:rPr>
            </w:pPr>
            <w:r w:rsidRPr="00232EBB">
              <w:rPr>
                <w:rFonts w:eastAsia="Calibri"/>
                <w:lang w:val="es-DO"/>
              </w:rPr>
              <w:t>Mayor efectividad en la ejecución del procedimiento de cobros y aplicación de multas para someter infractores /</w:t>
            </w:r>
            <w:r w:rsidRPr="00232EBB">
              <w:rPr>
                <w:rFonts w:eastAsia="Calibri"/>
                <w:b/>
                <w:bCs/>
                <w:lang w:val="es-DO"/>
              </w:rPr>
              <w:t> Disminuir el Índice de Morosidad</w:t>
            </w:r>
          </w:p>
        </w:tc>
        <w:tc>
          <w:tcPr>
            <w:tcW w:w="5040" w:type="dxa"/>
            <w:tcBorders>
              <w:top w:val="nil"/>
              <w:left w:val="nil"/>
              <w:bottom w:val="single" w:sz="4" w:space="0" w:color="auto"/>
              <w:right w:val="single" w:sz="8" w:space="0" w:color="auto"/>
            </w:tcBorders>
            <w:vAlign w:val="center"/>
          </w:tcPr>
          <w:p w14:paraId="670F8EF8" w14:textId="1EBF43E2" w:rsidR="009B7F1B" w:rsidRPr="00232EBB" w:rsidRDefault="009B7F1B" w:rsidP="009B7F1B">
            <w:pPr>
              <w:spacing w:after="0" w:line="360" w:lineRule="auto"/>
              <w:jc w:val="both"/>
              <w:rPr>
                <w:rFonts w:eastAsia="Calibri"/>
                <w:lang w:val="es-DO"/>
              </w:rPr>
            </w:pPr>
            <w:r w:rsidRPr="00232EBB">
              <w:rPr>
                <w:rFonts w:eastAsia="Calibri"/>
                <w:lang w:val="es-DO"/>
              </w:rPr>
              <w:t>24%(meta)</w:t>
            </w:r>
            <w:r w:rsidR="0051701C">
              <w:rPr>
                <w:rFonts w:eastAsia="Calibri"/>
                <w:lang w:val="es-DO"/>
              </w:rPr>
              <w:t xml:space="preserve"> </w:t>
            </w:r>
            <w:r w:rsidRPr="00232EBB">
              <w:rPr>
                <w:rFonts w:eastAsia="Calibri"/>
                <w:lang w:val="es-DO"/>
              </w:rPr>
              <w:t>1-</w:t>
            </w:r>
            <w:r w:rsidR="00103C1E">
              <w:rPr>
                <w:rFonts w:eastAsia="Calibri"/>
                <w:lang w:val="es-DO"/>
              </w:rPr>
              <w:t>Al cierre del año 2025</w:t>
            </w:r>
            <w:r w:rsidRPr="00232EBB">
              <w:rPr>
                <w:rFonts w:eastAsia="Calibri"/>
                <w:lang w:val="es-DO"/>
              </w:rPr>
              <w:t xml:space="preserve"> se depositaron </w:t>
            </w:r>
            <w:r w:rsidR="00B17315">
              <w:rPr>
                <w:rFonts w:eastAsia="Calibri"/>
                <w:lang w:val="es-DO"/>
              </w:rPr>
              <w:t>608</w:t>
            </w:r>
            <w:r w:rsidR="00D92020" w:rsidRPr="00232EBB">
              <w:rPr>
                <w:rFonts w:eastAsia="Calibri"/>
                <w:lang w:val="es-DO"/>
              </w:rPr>
              <w:t xml:space="preserve"> </w:t>
            </w:r>
            <w:r w:rsidR="003B2C0F" w:rsidRPr="00232EBB">
              <w:rPr>
                <w:rFonts w:eastAsia="Calibri"/>
                <w:lang w:val="es-DO"/>
              </w:rPr>
              <w:t xml:space="preserve">intimaciones de pago a empleadores morosos en el Gran Santo Domingo y las provincias San Cristóbal, Santiago, San Pedro de Macorís, La Romana y La Altagracia. Como resultado de estas acciones, se ha logrado recuperar alrededor </w:t>
            </w:r>
            <w:r w:rsidR="00B17315">
              <w:rPr>
                <w:rFonts w:eastAsia="Calibri"/>
                <w:lang w:val="es-DO"/>
              </w:rPr>
              <w:t>Cuarenta y Cuatro Millones Novecientos Ochenta y Tres Mil Cuatrocientos Diecinueve Pesos Dominicanos con 37/100 (RD$44,983,419.37).</w:t>
            </w:r>
          </w:p>
        </w:tc>
      </w:tr>
    </w:tbl>
    <w:p w14:paraId="4E73D4B7" w14:textId="22FDC88B" w:rsidR="009B7F1B" w:rsidRPr="00232EBB" w:rsidRDefault="00DB3220" w:rsidP="009B7F1B">
      <w:pPr>
        <w:ind w:left="-720"/>
        <w:rPr>
          <w:b/>
          <w:color w:val="auto"/>
          <w:spacing w:val="0"/>
          <w:sz w:val="22"/>
          <w:szCs w:val="22"/>
          <w:lang w:val="es-DO"/>
        </w:rPr>
        <w:sectPr w:rsidR="009B7F1B" w:rsidRPr="00232EBB" w:rsidSect="0024725E">
          <w:footerReference w:type="default" r:id="rId25"/>
          <w:pgSz w:w="15840" w:h="12240" w:orient="landscape"/>
          <w:pgMar w:top="1440" w:right="2160" w:bottom="1440" w:left="2160" w:header="720" w:footer="720" w:gutter="0"/>
          <w:cols w:space="720"/>
          <w:docGrid w:linePitch="360"/>
        </w:sectPr>
      </w:pPr>
      <w:r w:rsidRPr="00232EBB">
        <w:rPr>
          <w:rFonts w:eastAsia="Calibri"/>
          <w:b/>
          <w:bCs/>
          <w:sz w:val="18"/>
          <w:szCs w:val="18"/>
          <w:lang w:val="es-DO"/>
        </w:rPr>
        <w:t xml:space="preserve">          </w:t>
      </w:r>
      <w:r w:rsidR="009B7F1B" w:rsidRPr="00232EBB">
        <w:rPr>
          <w:rFonts w:eastAsia="Calibri"/>
          <w:b/>
          <w:bCs/>
          <w:sz w:val="18"/>
          <w:szCs w:val="18"/>
          <w:lang w:val="es-DO"/>
        </w:rPr>
        <w:t>Tabla</w:t>
      </w:r>
      <w:r w:rsidR="009B7F1B" w:rsidRPr="00232EBB">
        <w:rPr>
          <w:color w:val="auto"/>
          <w:spacing w:val="0"/>
          <w:sz w:val="22"/>
          <w:szCs w:val="22"/>
          <w:lang w:val="es-DO"/>
        </w:rPr>
        <w:t xml:space="preserve"> </w:t>
      </w:r>
      <w:r w:rsidR="009B7F1B" w:rsidRPr="00232EBB">
        <w:rPr>
          <w:rFonts w:eastAsia="Calibri"/>
          <w:b/>
          <w:bCs/>
          <w:sz w:val="18"/>
          <w:szCs w:val="18"/>
          <w:lang w:val="es-DO"/>
        </w:rPr>
        <w:t>1</w:t>
      </w:r>
      <w:r w:rsidR="00E27BAB">
        <w:rPr>
          <w:rFonts w:eastAsia="Calibri"/>
          <w:b/>
          <w:bCs/>
          <w:sz w:val="18"/>
          <w:szCs w:val="18"/>
          <w:lang w:val="es-DO"/>
        </w:rPr>
        <w:t>4</w:t>
      </w:r>
      <w:r w:rsidR="009B7F1B" w:rsidRPr="00232EBB">
        <w:rPr>
          <w:rFonts w:eastAsia="Calibri"/>
          <w:b/>
          <w:bCs/>
          <w:sz w:val="18"/>
          <w:szCs w:val="18"/>
          <w:lang w:val="es-DO"/>
        </w:rPr>
        <w:t xml:space="preserve">:  </w:t>
      </w:r>
      <w:r w:rsidR="009B7F1B" w:rsidRPr="00232EBB">
        <w:rPr>
          <w:rFonts w:eastAsia="Calibri"/>
          <w:sz w:val="18"/>
          <w:szCs w:val="18"/>
          <w:lang w:val="es-DO"/>
        </w:rPr>
        <w:t>Principales indicadores misionales al 202</w:t>
      </w:r>
      <w:r w:rsidR="00C457E4" w:rsidRPr="00232EBB">
        <w:rPr>
          <w:rFonts w:eastAsia="Calibri"/>
          <w:sz w:val="18"/>
          <w:szCs w:val="18"/>
          <w:lang w:val="es-DO"/>
        </w:rPr>
        <w:t>5</w:t>
      </w:r>
    </w:p>
    <w:bookmarkStart w:id="105" w:name="_Toc216952224"/>
    <w:p w14:paraId="480AB252" w14:textId="6C35C0AB" w:rsidR="00654164" w:rsidRPr="00232EBB" w:rsidRDefault="00771010" w:rsidP="00771010">
      <w:pPr>
        <w:pStyle w:val="Heading1"/>
        <w:spacing w:after="240"/>
        <w:ind w:left="270" w:hanging="360"/>
        <w:rPr>
          <w:rFonts w:cs="Times New Roman"/>
          <w:spacing w:val="0"/>
          <w:lang w:val="es-DO"/>
        </w:rPr>
      </w:pPr>
      <w:r w:rsidRPr="00232EBB">
        <w:rPr>
          <w:rFonts w:eastAsia="Calibri" w:cs="Times New Roman"/>
          <w:noProof/>
          <w:color w:val="4C4747"/>
          <w:sz w:val="18"/>
        </w:rPr>
        <w:lastRenderedPageBreak/>
        <mc:AlternateContent>
          <mc:Choice Requires="wps">
            <w:drawing>
              <wp:anchor distT="0" distB="0" distL="114300" distR="114300" simplePos="0" relativeHeight="251658254" behindDoc="0" locked="0" layoutInCell="1" allowOverlap="1" wp14:anchorId="76EDFA29" wp14:editId="0BAE9CF2">
                <wp:simplePos x="0" y="0"/>
                <wp:positionH relativeFrom="margin">
                  <wp:posOffset>2238616</wp:posOffset>
                </wp:positionH>
                <wp:positionV relativeFrom="paragraph">
                  <wp:posOffset>680720</wp:posOffset>
                </wp:positionV>
                <wp:extent cx="463550" cy="0"/>
                <wp:effectExtent l="22860" t="15875" r="18415" b="22225"/>
                <wp:wrapNone/>
                <wp:docPr id="15"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3550" cy="0"/>
                        </a:xfrm>
                        <a:prstGeom prst="line">
                          <a:avLst/>
                        </a:prstGeom>
                        <a:noFill/>
                        <a:ln w="28575" algn="ctr">
                          <a:solidFill>
                            <a:srgbClr val="EE2A24"/>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FCEF68" id="Straight Connector 15" o:spid="_x0000_s1026" style="position:absolute;z-index:2516582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76.25pt,53.6pt" to="212.75pt,5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" strokecolor="#ee2a24" strokeweight="2.25pt">
                <v:stroke joinstyle="miter"/>
                <w10:wrap anchorx="margin"/>
              </v:line>
            </w:pict>
          </mc:Fallback>
        </mc:AlternateContent>
      </w:r>
      <w:r w:rsidRPr="00232EBB">
        <w:rPr>
          <w:rFonts w:cs="Times New Roman"/>
          <w:spacing w:val="0"/>
          <w:lang w:val="es-DO"/>
        </w:rPr>
        <w:t xml:space="preserve">IV. </w:t>
      </w:r>
      <w:r w:rsidR="00654164" w:rsidRPr="00232EBB">
        <w:rPr>
          <w:rFonts w:cs="Times New Roman"/>
          <w:spacing w:val="0"/>
          <w:lang w:val="es-DO"/>
        </w:rPr>
        <w:t>RESULTADOS DE LAS ÁREAS TRANSVERSALES Y DE APOYO</w:t>
      </w:r>
      <w:bookmarkEnd w:id="105"/>
    </w:p>
    <w:p w14:paraId="742E354D" w14:textId="4F1DFDC1" w:rsidR="00654164" w:rsidRPr="00232EBB" w:rsidRDefault="00771010" w:rsidP="00771010">
      <w:pPr>
        <w:spacing w:line="360" w:lineRule="auto"/>
        <w:jc w:val="both"/>
        <w:rPr>
          <w:sz w:val="22"/>
          <w:szCs w:val="36"/>
          <w:lang w:val="es-DO"/>
        </w:rPr>
      </w:pPr>
      <w:r w:rsidRPr="00232EBB">
        <w:rPr>
          <w:sz w:val="22"/>
          <w:szCs w:val="36"/>
          <w:lang w:val="es-DO"/>
        </w:rPr>
        <w:t xml:space="preserve">                                    </w:t>
      </w:r>
      <w:r w:rsidR="00654164" w:rsidRPr="00232EBB">
        <w:rPr>
          <w:sz w:val="22"/>
          <w:szCs w:val="36"/>
          <w:lang w:val="es-DO"/>
        </w:rPr>
        <w:t xml:space="preserve">Memoria </w:t>
      </w:r>
      <w:r w:rsidR="00F05DF4" w:rsidRPr="00232EBB">
        <w:rPr>
          <w:sz w:val="22"/>
          <w:szCs w:val="36"/>
          <w:lang w:val="es-DO"/>
        </w:rPr>
        <w:t>I</w:t>
      </w:r>
      <w:r w:rsidR="00654164" w:rsidRPr="00232EBB">
        <w:rPr>
          <w:sz w:val="22"/>
          <w:szCs w:val="36"/>
          <w:lang w:val="es-DO"/>
        </w:rPr>
        <w:t xml:space="preserve">nstitucional </w:t>
      </w:r>
      <w:r w:rsidR="000025D4" w:rsidRPr="00232EBB">
        <w:rPr>
          <w:sz w:val="22"/>
          <w:szCs w:val="36"/>
          <w:lang w:val="es-DO"/>
        </w:rPr>
        <w:t>202</w:t>
      </w:r>
      <w:r w:rsidR="004E388D" w:rsidRPr="00232EBB">
        <w:rPr>
          <w:sz w:val="22"/>
          <w:szCs w:val="36"/>
          <w:lang w:val="es-DO"/>
        </w:rPr>
        <w:t>5</w:t>
      </w:r>
    </w:p>
    <w:p w14:paraId="681CE754" w14:textId="117FA82D" w:rsidR="00771010" w:rsidRPr="00232EBB" w:rsidRDefault="00044655" w:rsidP="00044655">
      <w:pPr>
        <w:pStyle w:val="Heading1"/>
        <w:spacing w:after="240" w:line="259" w:lineRule="auto"/>
        <w:jc w:val="both"/>
        <w:rPr>
          <w:rFonts w:cs="Times New Roman"/>
          <w:spacing w:val="0"/>
          <w:lang w:val="es-DO"/>
        </w:rPr>
      </w:pPr>
      <w:bookmarkStart w:id="106" w:name="_Toc154736701"/>
      <w:bookmarkStart w:id="107" w:name="_Toc216952225"/>
      <w:r w:rsidRPr="00232EBB">
        <w:rPr>
          <w:rFonts w:cs="Times New Roman"/>
          <w:spacing w:val="0"/>
          <w:lang w:val="es-DO"/>
        </w:rPr>
        <w:t xml:space="preserve">4.1 </w:t>
      </w:r>
      <w:r w:rsidR="00771010" w:rsidRPr="00232EBB">
        <w:rPr>
          <w:rFonts w:cs="Times New Roman"/>
          <w:spacing w:val="0"/>
          <w:lang w:val="es-DO"/>
        </w:rPr>
        <w:t>Desempeño Área Administrativa y Financiera</w:t>
      </w:r>
      <w:bookmarkEnd w:id="106"/>
      <w:bookmarkEnd w:id="107"/>
    </w:p>
    <w:p w14:paraId="1DE35B0E" w14:textId="43EA13B5" w:rsidR="00A02E84" w:rsidRPr="00232EBB" w:rsidRDefault="00A02E84" w:rsidP="006B7E81">
      <w:pPr>
        <w:spacing w:line="360" w:lineRule="auto"/>
        <w:jc w:val="both"/>
        <w:rPr>
          <w:rFonts w:eastAsia="Calibri"/>
          <w:noProof/>
          <w:color w:val="808080" w:themeColor="background1" w:themeShade="80"/>
          <w:lang w:val="es-DO"/>
        </w:rPr>
      </w:pPr>
      <w:r w:rsidRPr="00232EBB">
        <w:rPr>
          <w:rFonts w:eastAsia="Calibri"/>
          <w:noProof/>
          <w:color w:val="808080" w:themeColor="background1" w:themeShade="80"/>
          <w:lang w:val="es-DO"/>
        </w:rPr>
        <w:t>La Gestión Administrativa de la TSS sigue fortaleciéndose y consolidando jun</w:t>
      </w:r>
      <w:r w:rsidR="005C6E7B" w:rsidRPr="00232EBB">
        <w:rPr>
          <w:rFonts w:eastAsia="Calibri"/>
          <w:noProof/>
          <w:color w:val="808080" w:themeColor="background1" w:themeShade="80"/>
          <w:lang w:val="es-DO"/>
        </w:rPr>
        <w:t>t</w:t>
      </w:r>
      <w:r w:rsidRPr="00232EBB">
        <w:rPr>
          <w:rFonts w:eastAsia="Calibri"/>
          <w:noProof/>
          <w:color w:val="808080" w:themeColor="background1" w:themeShade="80"/>
          <w:lang w:val="es-DO"/>
        </w:rPr>
        <w:t xml:space="preserve">o al crecimiento y desarrollo de la institución, sirviendo con claros estándares de ética, transparencia y excelencia que dan vida a nuestra filosofía institucional. </w:t>
      </w:r>
    </w:p>
    <w:p w14:paraId="3628EA66" w14:textId="77777777" w:rsidR="00A02E84" w:rsidRPr="00232EBB" w:rsidRDefault="00A02E84" w:rsidP="00667D63">
      <w:pPr>
        <w:spacing w:line="360" w:lineRule="auto"/>
        <w:jc w:val="both"/>
        <w:rPr>
          <w:b/>
          <w:bCs/>
          <w:lang w:val="es-DO"/>
        </w:rPr>
      </w:pPr>
      <w:bookmarkStart w:id="108" w:name="_Toc140587624"/>
      <w:bookmarkStart w:id="109" w:name="_Toc171677830"/>
      <w:bookmarkStart w:id="110" w:name="_Toc172118689"/>
      <w:bookmarkStart w:id="111" w:name="_Toc172119842"/>
      <w:bookmarkStart w:id="112" w:name="_Toc172120175"/>
      <w:bookmarkStart w:id="113" w:name="_Toc172121393"/>
      <w:r w:rsidRPr="00232EBB">
        <w:rPr>
          <w:b/>
          <w:bCs/>
          <w:lang w:val="es-DO"/>
        </w:rPr>
        <w:t>Gestión de Compras y Contrataciones</w:t>
      </w:r>
      <w:bookmarkEnd w:id="108"/>
      <w:bookmarkEnd w:id="109"/>
      <w:bookmarkEnd w:id="110"/>
      <w:bookmarkEnd w:id="111"/>
      <w:bookmarkEnd w:id="112"/>
      <w:bookmarkEnd w:id="113"/>
    </w:p>
    <w:p w14:paraId="0E6FF563" w14:textId="77777777" w:rsidR="00345EDB" w:rsidRPr="00232EBB" w:rsidRDefault="00345EDB" w:rsidP="00AF6F01">
      <w:pPr>
        <w:spacing w:line="360" w:lineRule="auto"/>
        <w:jc w:val="both"/>
        <w:rPr>
          <w:rFonts w:eastAsia="Calibri"/>
          <w:noProof/>
          <w:color w:val="808080" w:themeColor="background1" w:themeShade="80"/>
          <w:lang w:val="es-DO"/>
        </w:rPr>
      </w:pPr>
      <w:bookmarkStart w:id="114" w:name="_Toc139461512"/>
      <w:bookmarkStart w:id="115" w:name="_Toc140587631"/>
      <w:r w:rsidRPr="00232EBB">
        <w:rPr>
          <w:rFonts w:eastAsia="Calibri"/>
          <w:noProof/>
          <w:color w:val="808080" w:themeColor="background1" w:themeShade="80"/>
          <w:lang w:val="es-DO"/>
        </w:rPr>
        <w:t xml:space="preserve">En el área de compras y contrataciones se planifican los procesos a través del Plan Anual de Compras y Contrataciones, que incluye todos los bienes, servicios y obras que serán adquiridos durante el período de un (01) año, actualizado trimestralmente. </w:t>
      </w:r>
    </w:p>
    <w:p w14:paraId="3910600F" w14:textId="77777777" w:rsidR="006B7E81" w:rsidRPr="00232EBB" w:rsidRDefault="00345EDB" w:rsidP="00AF6F01">
      <w:pPr>
        <w:spacing w:line="360" w:lineRule="auto"/>
        <w:jc w:val="both"/>
        <w:rPr>
          <w:rFonts w:eastAsia="Calibri"/>
          <w:noProof/>
          <w:color w:val="808080" w:themeColor="background1" w:themeShade="80"/>
          <w:lang w:val="es-DO"/>
        </w:rPr>
      </w:pPr>
      <w:r w:rsidRPr="00232EBB">
        <w:rPr>
          <w:rFonts w:eastAsia="Calibri"/>
          <w:noProof/>
          <w:color w:val="808080" w:themeColor="background1" w:themeShade="80"/>
          <w:lang w:val="es-DO"/>
        </w:rPr>
        <w:t xml:space="preserve">La ejecución del Plan Anual de Compras y Contrataciones se mide en el Indicador de Uso del Sistema Nacional de Contrataciones Públicas por medio del subindicador Planificación de Compras, con un total de 20 puntos. </w:t>
      </w:r>
    </w:p>
    <w:p w14:paraId="775B5788" w14:textId="312F3D6E" w:rsidR="00345EDB" w:rsidRPr="00232EBB" w:rsidRDefault="00345EDB" w:rsidP="00AF6F01">
      <w:pPr>
        <w:spacing w:line="360" w:lineRule="auto"/>
        <w:jc w:val="both"/>
        <w:rPr>
          <w:noProof/>
          <w:color w:val="808080" w:themeColor="background1" w:themeShade="80"/>
          <w:lang w:val="es-MX"/>
        </w:rPr>
      </w:pPr>
      <w:r w:rsidRPr="00232EBB">
        <w:rPr>
          <w:rFonts w:eastAsia="Calibri"/>
          <w:noProof/>
          <w:color w:val="808080" w:themeColor="background1" w:themeShade="80"/>
          <w:lang w:val="es-DO"/>
        </w:rPr>
        <w:t xml:space="preserve">Una ponderación de 5 puntos a la Publicación del PACC, al publicar el PACC del año en curso dentro del tiempo estipulado, y una ponderación de 15 puntos a la Gestión Eficiente del PACC, que evalúa la correcta ejecución de las adquisiciones planificadas en </w:t>
      </w:r>
      <w:r w:rsidRPr="00232EBB">
        <w:rPr>
          <w:rFonts w:eastAsia="Calibri"/>
          <w:noProof/>
          <w:color w:val="808080" w:themeColor="background1" w:themeShade="80"/>
          <w:lang w:val="es-DO"/>
        </w:rPr>
        <w:lastRenderedPageBreak/>
        <w:t xml:space="preserve">cada trimestre y que todo lo convocado esté contemplado en alguna </w:t>
      </w:r>
      <w:r w:rsidR="00DE02CF">
        <w:rPr>
          <w:noProof/>
        </w:rPr>
        <w:drawing>
          <wp:anchor distT="0" distB="0" distL="114300" distR="114300" simplePos="0" relativeHeight="251718692" behindDoc="0" locked="0" layoutInCell="1" allowOverlap="1" wp14:anchorId="75F4AF9B" wp14:editId="40D863E7">
            <wp:simplePos x="0" y="0"/>
            <wp:positionH relativeFrom="margin">
              <wp:align>left</wp:align>
            </wp:positionH>
            <wp:positionV relativeFrom="margin">
              <wp:posOffset>523875</wp:posOffset>
            </wp:positionV>
            <wp:extent cx="4572000" cy="2743200"/>
            <wp:effectExtent l="0" t="0" r="0" b="0"/>
            <wp:wrapSquare wrapText="bothSides"/>
            <wp:docPr id="1896721221" name="Chart 1">
              <a:extLst xmlns:a="http://schemas.openxmlformats.org/drawingml/2006/main">
                <a:ext uri="{FF2B5EF4-FFF2-40B4-BE49-F238E27FC236}">
                  <a16:creationId xmlns:a16="http://schemas.microsoft.com/office/drawing/2014/main" id="{BB1EB913-5CBC-CA90-5E8B-DA7ABF0A89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anchor>
        </w:drawing>
      </w:r>
      <w:r w:rsidRPr="00232EBB">
        <w:rPr>
          <w:rFonts w:eastAsia="Calibri"/>
          <w:noProof/>
          <w:color w:val="808080" w:themeColor="background1" w:themeShade="80"/>
          <w:lang w:val="es-DO"/>
        </w:rPr>
        <w:t xml:space="preserve">etapa del plan. </w:t>
      </w:r>
    </w:p>
    <w:p w14:paraId="7A4656DC" w14:textId="622A16A8" w:rsidR="00345EDB" w:rsidRPr="00DE02CF" w:rsidRDefault="00345EDB" w:rsidP="007431CB">
      <w:pPr>
        <w:spacing w:after="0" w:line="360" w:lineRule="auto"/>
        <w:jc w:val="center"/>
        <w:rPr>
          <w:noProof/>
          <w:color w:val="808080" w:themeColor="background1" w:themeShade="80"/>
          <w:lang w:val="es-DO"/>
        </w:rPr>
      </w:pPr>
    </w:p>
    <w:p w14:paraId="4D6A7889" w14:textId="4D0BEFC6" w:rsidR="00A02E84" w:rsidRPr="00232EBB" w:rsidRDefault="00A02E84" w:rsidP="00345EDB">
      <w:pPr>
        <w:spacing w:after="0" w:line="360" w:lineRule="auto"/>
        <w:jc w:val="both"/>
        <w:rPr>
          <w:rFonts w:eastAsia="Calibri"/>
          <w:noProof/>
          <w:color w:val="808080" w:themeColor="background1" w:themeShade="80"/>
          <w:sz w:val="18"/>
          <w:szCs w:val="18"/>
          <w:lang w:val="es-DO"/>
        </w:rPr>
      </w:pPr>
      <w:r w:rsidRPr="00232EBB">
        <w:rPr>
          <w:rFonts w:eastAsia="Calibri"/>
          <w:b/>
          <w:bCs/>
          <w:noProof/>
          <w:color w:val="808080" w:themeColor="background1" w:themeShade="80"/>
          <w:lang w:val="es-ES"/>
        </w:rPr>
        <w:t xml:space="preserve"> </w:t>
      </w:r>
      <w:r w:rsidRPr="00232EBB">
        <w:rPr>
          <w:rFonts w:eastAsia="Calibri"/>
          <w:b/>
          <w:bCs/>
          <w:noProof/>
          <w:color w:val="808080" w:themeColor="background1" w:themeShade="80"/>
          <w:sz w:val="18"/>
          <w:szCs w:val="18"/>
          <w:lang w:val="es-ES"/>
        </w:rPr>
        <w:t xml:space="preserve">Gráfico </w:t>
      </w:r>
      <w:r w:rsidR="000743EE" w:rsidRPr="00232EBB">
        <w:rPr>
          <w:rFonts w:eastAsia="Calibri"/>
          <w:b/>
          <w:bCs/>
          <w:noProof/>
          <w:color w:val="808080" w:themeColor="background1" w:themeShade="80"/>
          <w:sz w:val="18"/>
          <w:szCs w:val="18"/>
          <w:lang w:val="es-ES"/>
        </w:rPr>
        <w:t>5</w:t>
      </w:r>
      <w:r w:rsidRPr="00232EBB">
        <w:rPr>
          <w:rFonts w:eastAsia="Calibri"/>
          <w:b/>
          <w:bCs/>
          <w:noProof/>
          <w:color w:val="808080" w:themeColor="background1" w:themeShade="80"/>
          <w:sz w:val="18"/>
          <w:szCs w:val="18"/>
          <w:lang w:val="es-ES"/>
        </w:rPr>
        <w:t>:</w:t>
      </w:r>
      <w:r w:rsidRPr="00232EBB">
        <w:rPr>
          <w:rFonts w:eastAsia="Calibri"/>
          <w:noProof/>
          <w:color w:val="808080" w:themeColor="background1" w:themeShade="80"/>
          <w:sz w:val="18"/>
          <w:szCs w:val="18"/>
          <w:lang w:val="es-ES"/>
        </w:rPr>
        <w:t xml:space="preserve">Subindicador planificación de compras al </w:t>
      </w:r>
      <w:r w:rsidR="00565DB3" w:rsidRPr="00232EBB">
        <w:rPr>
          <w:rFonts w:eastAsia="Calibri"/>
          <w:noProof/>
          <w:color w:val="808080" w:themeColor="background1" w:themeShade="80"/>
          <w:sz w:val="18"/>
          <w:szCs w:val="18"/>
          <w:lang w:val="es-ES"/>
        </w:rPr>
        <w:t>cierre del</w:t>
      </w:r>
      <w:r w:rsidR="00345EDB" w:rsidRPr="00232EBB">
        <w:rPr>
          <w:rFonts w:eastAsia="Calibri"/>
          <w:noProof/>
          <w:color w:val="808080" w:themeColor="background1" w:themeShade="80"/>
          <w:sz w:val="18"/>
          <w:szCs w:val="18"/>
          <w:lang w:val="es-ES"/>
        </w:rPr>
        <w:t xml:space="preserve"> 2025</w:t>
      </w:r>
      <w:r w:rsidRPr="00232EBB">
        <w:rPr>
          <w:rFonts w:eastAsia="Calibri"/>
          <w:noProof/>
          <w:color w:val="808080" w:themeColor="background1" w:themeShade="80"/>
          <w:sz w:val="18"/>
          <w:szCs w:val="18"/>
          <w:lang w:val="es-ES"/>
        </w:rPr>
        <w:t>.</w:t>
      </w:r>
    </w:p>
    <w:p w14:paraId="1EC94B63" w14:textId="67906A61" w:rsidR="00B33174" w:rsidRPr="00232EBB" w:rsidRDefault="005F0428" w:rsidP="00B33174">
      <w:pPr>
        <w:spacing w:before="240" w:line="360" w:lineRule="auto"/>
        <w:jc w:val="both"/>
        <w:rPr>
          <w:rFonts w:eastAsia="Calibri"/>
          <w:noProof/>
          <w:color w:val="808080" w:themeColor="background1" w:themeShade="80"/>
          <w:sz w:val="22"/>
          <w:szCs w:val="22"/>
          <w:lang w:val="es-MX"/>
        </w:rPr>
      </w:pPr>
      <w:bookmarkStart w:id="116" w:name="_Hlk216346684"/>
      <w:r w:rsidRPr="00232EBB">
        <w:rPr>
          <w:rFonts w:eastAsia="Calibri"/>
          <w:noProof/>
          <w:color w:val="808080" w:themeColor="background1" w:themeShade="80"/>
          <w:sz w:val="22"/>
          <w:szCs w:val="22"/>
          <w:lang w:val="es-MX"/>
        </w:rPr>
        <w:t>Al cierre</w:t>
      </w:r>
      <w:r w:rsidR="00B33174" w:rsidRPr="00232EBB">
        <w:rPr>
          <w:rFonts w:eastAsia="Calibri"/>
          <w:noProof/>
          <w:color w:val="808080" w:themeColor="background1" w:themeShade="80"/>
          <w:sz w:val="22"/>
          <w:szCs w:val="22"/>
          <w:lang w:val="es-MX"/>
        </w:rPr>
        <w:t xml:space="preserve"> del 2025 gestionamos un total de 2</w:t>
      </w:r>
      <w:r w:rsidR="00F85E14" w:rsidRPr="00232EBB">
        <w:rPr>
          <w:rFonts w:eastAsia="Calibri"/>
          <w:noProof/>
          <w:color w:val="808080" w:themeColor="background1" w:themeShade="80"/>
          <w:sz w:val="22"/>
          <w:szCs w:val="22"/>
          <w:lang w:val="es-MX"/>
        </w:rPr>
        <w:t>73</w:t>
      </w:r>
      <w:r w:rsidR="00B33174" w:rsidRPr="00232EBB">
        <w:rPr>
          <w:rFonts w:eastAsia="Calibri"/>
          <w:noProof/>
          <w:color w:val="808080" w:themeColor="background1" w:themeShade="80"/>
          <w:sz w:val="22"/>
          <w:szCs w:val="22"/>
          <w:lang w:val="es-MX"/>
        </w:rPr>
        <w:t xml:space="preserve"> procesos</w:t>
      </w:r>
      <w:r w:rsidR="00B33174" w:rsidRPr="00232EBB">
        <w:rPr>
          <w:rFonts w:eastAsia="Calibri"/>
          <w:noProof/>
          <w:color w:val="FFFFFF" w:themeColor="background1"/>
          <w:sz w:val="22"/>
          <w:szCs w:val="22"/>
          <w:lang w:val="es-MX"/>
        </w:rPr>
        <w:t xml:space="preserve"> </w:t>
      </w:r>
      <w:r w:rsidR="00B33174" w:rsidRPr="00232EBB">
        <w:rPr>
          <w:rFonts w:eastAsia="Calibri"/>
          <w:noProof/>
          <w:color w:val="808080" w:themeColor="background1" w:themeShade="80"/>
          <w:sz w:val="22"/>
          <w:szCs w:val="22"/>
          <w:lang w:val="es-MX"/>
        </w:rPr>
        <w:t>de compras en el Sistema Electrónico de Compras y Contrataciones, de los cuales 194 se encuentran adjudicados</w:t>
      </w:r>
      <w:bookmarkEnd w:id="116"/>
      <w:r w:rsidR="00B33174" w:rsidRPr="00232EBB">
        <w:rPr>
          <w:rFonts w:eastAsia="Calibri"/>
          <w:noProof/>
          <w:color w:val="808080" w:themeColor="background1" w:themeShade="80"/>
          <w:sz w:val="22"/>
          <w:szCs w:val="22"/>
          <w:lang w:val="es-MX"/>
        </w:rPr>
        <w:t>.</w:t>
      </w:r>
    </w:p>
    <w:tbl>
      <w:tblPr>
        <w:tblW w:w="6259" w:type="dxa"/>
        <w:jc w:val="center"/>
        <w:tblCellMar>
          <w:left w:w="70" w:type="dxa"/>
          <w:right w:w="70" w:type="dxa"/>
        </w:tblCellMar>
        <w:tblLook w:val="04A0" w:firstRow="1" w:lastRow="0" w:firstColumn="1" w:lastColumn="0" w:noHBand="0" w:noVBand="1"/>
      </w:tblPr>
      <w:tblGrid>
        <w:gridCol w:w="1467"/>
        <w:gridCol w:w="2335"/>
        <w:gridCol w:w="2457"/>
      </w:tblGrid>
      <w:tr w:rsidR="00013E91" w:rsidRPr="00232EBB" w14:paraId="454384D6" w14:textId="77777777" w:rsidTr="00013E91">
        <w:trPr>
          <w:trHeight w:val="1222"/>
          <w:jc w:val="center"/>
        </w:trPr>
        <w:tc>
          <w:tcPr>
            <w:tcW w:w="1467"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7F5AF003" w14:textId="77777777" w:rsidR="00013E91" w:rsidRPr="00094160" w:rsidRDefault="00013E91" w:rsidP="0055368C">
            <w:pPr>
              <w:spacing w:after="0" w:line="240" w:lineRule="auto"/>
              <w:jc w:val="center"/>
              <w:rPr>
                <w:rFonts w:eastAsia="Calibri"/>
                <w:b/>
                <w:bCs/>
                <w:noProof/>
                <w:color w:val="FFFFFF" w:themeColor="background1"/>
                <w:lang w:val="es-MX"/>
              </w:rPr>
            </w:pPr>
            <w:r w:rsidRPr="00094160">
              <w:rPr>
                <w:rFonts w:eastAsia="Calibri"/>
                <w:b/>
                <w:bCs/>
                <w:noProof/>
                <w:color w:val="FFFFFF" w:themeColor="background1"/>
                <w:lang w:val="es-MX"/>
              </w:rPr>
              <w:t>Mes</w:t>
            </w:r>
          </w:p>
        </w:tc>
        <w:tc>
          <w:tcPr>
            <w:tcW w:w="2335" w:type="dxa"/>
            <w:tcBorders>
              <w:top w:val="single" w:sz="4" w:space="0" w:color="auto"/>
              <w:left w:val="nil"/>
              <w:bottom w:val="single" w:sz="4" w:space="0" w:color="auto"/>
              <w:right w:val="single" w:sz="4" w:space="0" w:color="auto"/>
            </w:tcBorders>
            <w:shd w:val="clear" w:color="auto" w:fill="002060"/>
            <w:vAlign w:val="center"/>
            <w:hideMark/>
          </w:tcPr>
          <w:p w14:paraId="5EB69128" w14:textId="77777777" w:rsidR="00013E91" w:rsidRPr="00094160" w:rsidRDefault="00013E91" w:rsidP="0055368C">
            <w:pPr>
              <w:spacing w:after="0" w:line="240" w:lineRule="auto"/>
              <w:jc w:val="center"/>
              <w:rPr>
                <w:rFonts w:eastAsia="Calibri"/>
                <w:b/>
                <w:bCs/>
                <w:noProof/>
                <w:color w:val="FFFFFF" w:themeColor="background1"/>
                <w:lang w:val="es-MX"/>
              </w:rPr>
            </w:pPr>
            <w:r w:rsidRPr="00094160">
              <w:rPr>
                <w:rFonts w:eastAsia="Calibri"/>
                <w:b/>
                <w:bCs/>
                <w:noProof/>
                <w:color w:val="FFFFFF" w:themeColor="background1"/>
                <w:lang w:val="es-MX"/>
              </w:rPr>
              <w:t xml:space="preserve">Cantidad de </w:t>
            </w:r>
          </w:p>
          <w:p w14:paraId="1CEBA54B" w14:textId="77777777" w:rsidR="00013E91" w:rsidRPr="00094160" w:rsidRDefault="00013E91" w:rsidP="0055368C">
            <w:pPr>
              <w:spacing w:after="0" w:line="240" w:lineRule="auto"/>
              <w:jc w:val="center"/>
              <w:rPr>
                <w:rFonts w:eastAsia="Calibri"/>
                <w:b/>
                <w:bCs/>
                <w:noProof/>
                <w:color w:val="FFFFFF" w:themeColor="background1"/>
                <w:lang w:val="es-MX"/>
              </w:rPr>
            </w:pPr>
            <w:r w:rsidRPr="00094160">
              <w:rPr>
                <w:rFonts w:eastAsia="Calibri"/>
                <w:b/>
                <w:bCs/>
                <w:noProof/>
                <w:color w:val="FFFFFF" w:themeColor="background1"/>
                <w:lang w:val="es-MX"/>
              </w:rPr>
              <w:t>Procesos Publicados</w:t>
            </w:r>
          </w:p>
        </w:tc>
        <w:tc>
          <w:tcPr>
            <w:tcW w:w="2457" w:type="dxa"/>
            <w:tcBorders>
              <w:top w:val="single" w:sz="4" w:space="0" w:color="auto"/>
              <w:left w:val="nil"/>
              <w:bottom w:val="single" w:sz="4" w:space="0" w:color="auto"/>
              <w:right w:val="single" w:sz="4" w:space="0" w:color="auto"/>
            </w:tcBorders>
            <w:shd w:val="clear" w:color="auto" w:fill="002060"/>
            <w:vAlign w:val="center"/>
            <w:hideMark/>
          </w:tcPr>
          <w:p w14:paraId="1730E818" w14:textId="77777777" w:rsidR="00013E91" w:rsidRPr="00094160" w:rsidRDefault="00013E91" w:rsidP="0055368C">
            <w:pPr>
              <w:spacing w:after="0" w:line="240" w:lineRule="auto"/>
              <w:jc w:val="center"/>
              <w:rPr>
                <w:rFonts w:eastAsia="Calibri"/>
                <w:b/>
                <w:bCs/>
                <w:noProof/>
                <w:color w:val="FFFFFF" w:themeColor="background1"/>
                <w:lang w:val="es-MX"/>
              </w:rPr>
            </w:pPr>
            <w:r w:rsidRPr="00094160">
              <w:rPr>
                <w:rFonts w:eastAsia="Calibri"/>
                <w:b/>
                <w:bCs/>
                <w:noProof/>
                <w:color w:val="FFFFFF" w:themeColor="background1"/>
                <w:lang w:val="es-MX"/>
              </w:rPr>
              <w:t xml:space="preserve">Cantidad de </w:t>
            </w:r>
          </w:p>
          <w:p w14:paraId="4A449CE3" w14:textId="77777777" w:rsidR="00013E91" w:rsidRPr="00094160" w:rsidRDefault="00013E91" w:rsidP="0055368C">
            <w:pPr>
              <w:spacing w:after="0" w:line="240" w:lineRule="auto"/>
              <w:jc w:val="center"/>
              <w:rPr>
                <w:rFonts w:eastAsia="Calibri"/>
                <w:b/>
                <w:bCs/>
                <w:noProof/>
                <w:color w:val="FFFFFF" w:themeColor="background1"/>
                <w:lang w:val="es-MX"/>
              </w:rPr>
            </w:pPr>
            <w:r w:rsidRPr="00094160">
              <w:rPr>
                <w:rFonts w:eastAsia="Calibri"/>
                <w:b/>
                <w:bCs/>
                <w:noProof/>
                <w:color w:val="FFFFFF" w:themeColor="background1"/>
                <w:lang w:val="es-MX"/>
              </w:rPr>
              <w:t>Procesos Adjudicados</w:t>
            </w:r>
          </w:p>
        </w:tc>
      </w:tr>
      <w:tr w:rsidR="00013E91" w:rsidRPr="00232EBB" w14:paraId="36003071" w14:textId="77777777" w:rsidTr="00013E91">
        <w:trPr>
          <w:trHeight w:val="353"/>
          <w:jc w:val="center"/>
        </w:trPr>
        <w:tc>
          <w:tcPr>
            <w:tcW w:w="1467" w:type="dxa"/>
            <w:tcBorders>
              <w:top w:val="nil"/>
              <w:left w:val="single" w:sz="4" w:space="0" w:color="auto"/>
              <w:bottom w:val="single" w:sz="4" w:space="0" w:color="auto"/>
              <w:right w:val="single" w:sz="4" w:space="0" w:color="auto"/>
            </w:tcBorders>
            <w:noWrap/>
            <w:vAlign w:val="center"/>
            <w:hideMark/>
          </w:tcPr>
          <w:p w14:paraId="4A4BCD73"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Ene</w:t>
            </w:r>
          </w:p>
        </w:tc>
        <w:tc>
          <w:tcPr>
            <w:tcW w:w="2335" w:type="dxa"/>
            <w:tcBorders>
              <w:top w:val="nil"/>
              <w:left w:val="nil"/>
              <w:bottom w:val="single" w:sz="4" w:space="0" w:color="auto"/>
              <w:right w:val="single" w:sz="4" w:space="0" w:color="auto"/>
            </w:tcBorders>
            <w:noWrap/>
            <w:vAlign w:val="center"/>
            <w:hideMark/>
          </w:tcPr>
          <w:p w14:paraId="59158819"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1</w:t>
            </w:r>
          </w:p>
        </w:tc>
        <w:tc>
          <w:tcPr>
            <w:tcW w:w="2457" w:type="dxa"/>
            <w:tcBorders>
              <w:top w:val="nil"/>
              <w:left w:val="nil"/>
              <w:bottom w:val="single" w:sz="4" w:space="0" w:color="auto"/>
              <w:right w:val="single" w:sz="4" w:space="0" w:color="auto"/>
            </w:tcBorders>
            <w:noWrap/>
            <w:vAlign w:val="center"/>
            <w:hideMark/>
          </w:tcPr>
          <w:p w14:paraId="2A130053"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0</w:t>
            </w:r>
          </w:p>
        </w:tc>
      </w:tr>
      <w:tr w:rsidR="00013E91" w:rsidRPr="00232EBB" w14:paraId="0ED7083E" w14:textId="77777777" w:rsidTr="00013E91">
        <w:trPr>
          <w:trHeight w:val="353"/>
          <w:jc w:val="center"/>
        </w:trPr>
        <w:tc>
          <w:tcPr>
            <w:tcW w:w="1467" w:type="dxa"/>
            <w:tcBorders>
              <w:top w:val="nil"/>
              <w:left w:val="single" w:sz="4" w:space="0" w:color="auto"/>
              <w:bottom w:val="single" w:sz="4" w:space="0" w:color="auto"/>
              <w:right w:val="single" w:sz="4" w:space="0" w:color="auto"/>
            </w:tcBorders>
            <w:noWrap/>
            <w:vAlign w:val="center"/>
            <w:hideMark/>
          </w:tcPr>
          <w:p w14:paraId="404F330C"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Feb</w:t>
            </w:r>
          </w:p>
        </w:tc>
        <w:tc>
          <w:tcPr>
            <w:tcW w:w="2335" w:type="dxa"/>
            <w:tcBorders>
              <w:top w:val="nil"/>
              <w:left w:val="nil"/>
              <w:bottom w:val="single" w:sz="4" w:space="0" w:color="auto"/>
              <w:right w:val="single" w:sz="4" w:space="0" w:color="auto"/>
            </w:tcBorders>
            <w:noWrap/>
            <w:vAlign w:val="center"/>
            <w:hideMark/>
          </w:tcPr>
          <w:p w14:paraId="39661E97"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22</w:t>
            </w:r>
          </w:p>
        </w:tc>
        <w:tc>
          <w:tcPr>
            <w:tcW w:w="2457" w:type="dxa"/>
            <w:tcBorders>
              <w:top w:val="nil"/>
              <w:left w:val="nil"/>
              <w:bottom w:val="single" w:sz="4" w:space="0" w:color="auto"/>
              <w:right w:val="single" w:sz="4" w:space="0" w:color="auto"/>
            </w:tcBorders>
            <w:noWrap/>
            <w:vAlign w:val="center"/>
            <w:hideMark/>
          </w:tcPr>
          <w:p w14:paraId="1DB0486C"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12</w:t>
            </w:r>
          </w:p>
        </w:tc>
      </w:tr>
      <w:tr w:rsidR="00013E91" w:rsidRPr="00232EBB" w14:paraId="2A37841C" w14:textId="77777777" w:rsidTr="00013E91">
        <w:trPr>
          <w:trHeight w:val="353"/>
          <w:jc w:val="center"/>
        </w:trPr>
        <w:tc>
          <w:tcPr>
            <w:tcW w:w="1467" w:type="dxa"/>
            <w:tcBorders>
              <w:top w:val="nil"/>
              <w:left w:val="single" w:sz="4" w:space="0" w:color="auto"/>
              <w:bottom w:val="single" w:sz="4" w:space="0" w:color="auto"/>
              <w:right w:val="single" w:sz="4" w:space="0" w:color="auto"/>
            </w:tcBorders>
            <w:noWrap/>
            <w:vAlign w:val="center"/>
            <w:hideMark/>
          </w:tcPr>
          <w:p w14:paraId="6A63DE0E"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Mar</w:t>
            </w:r>
          </w:p>
        </w:tc>
        <w:tc>
          <w:tcPr>
            <w:tcW w:w="2335" w:type="dxa"/>
            <w:tcBorders>
              <w:top w:val="nil"/>
              <w:left w:val="nil"/>
              <w:bottom w:val="single" w:sz="4" w:space="0" w:color="auto"/>
              <w:right w:val="single" w:sz="4" w:space="0" w:color="auto"/>
            </w:tcBorders>
            <w:noWrap/>
            <w:vAlign w:val="center"/>
            <w:hideMark/>
          </w:tcPr>
          <w:p w14:paraId="144AAD62"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16</w:t>
            </w:r>
          </w:p>
        </w:tc>
        <w:tc>
          <w:tcPr>
            <w:tcW w:w="2457" w:type="dxa"/>
            <w:tcBorders>
              <w:top w:val="nil"/>
              <w:left w:val="nil"/>
              <w:bottom w:val="single" w:sz="4" w:space="0" w:color="auto"/>
              <w:right w:val="single" w:sz="4" w:space="0" w:color="auto"/>
            </w:tcBorders>
            <w:noWrap/>
            <w:vAlign w:val="center"/>
            <w:hideMark/>
          </w:tcPr>
          <w:p w14:paraId="0FEA4A77"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16</w:t>
            </w:r>
          </w:p>
        </w:tc>
      </w:tr>
      <w:tr w:rsidR="00013E91" w:rsidRPr="00232EBB" w14:paraId="539E718E" w14:textId="77777777" w:rsidTr="00013E91">
        <w:trPr>
          <w:trHeight w:val="353"/>
          <w:jc w:val="center"/>
        </w:trPr>
        <w:tc>
          <w:tcPr>
            <w:tcW w:w="1467" w:type="dxa"/>
            <w:tcBorders>
              <w:top w:val="nil"/>
              <w:left w:val="single" w:sz="4" w:space="0" w:color="auto"/>
              <w:bottom w:val="single" w:sz="4" w:space="0" w:color="auto"/>
              <w:right w:val="single" w:sz="4" w:space="0" w:color="auto"/>
            </w:tcBorders>
            <w:noWrap/>
            <w:vAlign w:val="center"/>
            <w:hideMark/>
          </w:tcPr>
          <w:p w14:paraId="2ED3E796"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Abr</w:t>
            </w:r>
          </w:p>
        </w:tc>
        <w:tc>
          <w:tcPr>
            <w:tcW w:w="2335" w:type="dxa"/>
            <w:tcBorders>
              <w:top w:val="nil"/>
              <w:left w:val="nil"/>
              <w:bottom w:val="single" w:sz="4" w:space="0" w:color="auto"/>
              <w:right w:val="single" w:sz="4" w:space="0" w:color="auto"/>
            </w:tcBorders>
            <w:noWrap/>
            <w:vAlign w:val="center"/>
            <w:hideMark/>
          </w:tcPr>
          <w:p w14:paraId="12682EED"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16</w:t>
            </w:r>
          </w:p>
        </w:tc>
        <w:tc>
          <w:tcPr>
            <w:tcW w:w="2457" w:type="dxa"/>
            <w:tcBorders>
              <w:top w:val="nil"/>
              <w:left w:val="nil"/>
              <w:bottom w:val="single" w:sz="4" w:space="0" w:color="auto"/>
              <w:right w:val="single" w:sz="4" w:space="0" w:color="auto"/>
            </w:tcBorders>
            <w:noWrap/>
            <w:vAlign w:val="center"/>
            <w:hideMark/>
          </w:tcPr>
          <w:p w14:paraId="41DCEDE0"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14</w:t>
            </w:r>
          </w:p>
        </w:tc>
      </w:tr>
      <w:tr w:rsidR="00013E91" w:rsidRPr="00232EBB" w14:paraId="03DEF157" w14:textId="77777777" w:rsidTr="00013E91">
        <w:trPr>
          <w:trHeight w:val="353"/>
          <w:jc w:val="center"/>
        </w:trPr>
        <w:tc>
          <w:tcPr>
            <w:tcW w:w="1467" w:type="dxa"/>
            <w:tcBorders>
              <w:top w:val="nil"/>
              <w:left w:val="single" w:sz="4" w:space="0" w:color="auto"/>
              <w:bottom w:val="single" w:sz="4" w:space="0" w:color="auto"/>
              <w:right w:val="single" w:sz="4" w:space="0" w:color="auto"/>
            </w:tcBorders>
            <w:noWrap/>
            <w:vAlign w:val="center"/>
            <w:hideMark/>
          </w:tcPr>
          <w:p w14:paraId="007743DC"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May</w:t>
            </w:r>
          </w:p>
        </w:tc>
        <w:tc>
          <w:tcPr>
            <w:tcW w:w="2335" w:type="dxa"/>
            <w:tcBorders>
              <w:top w:val="nil"/>
              <w:left w:val="nil"/>
              <w:bottom w:val="single" w:sz="4" w:space="0" w:color="auto"/>
              <w:right w:val="single" w:sz="4" w:space="0" w:color="auto"/>
            </w:tcBorders>
            <w:noWrap/>
            <w:vAlign w:val="center"/>
            <w:hideMark/>
          </w:tcPr>
          <w:p w14:paraId="7A72F847"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23</w:t>
            </w:r>
          </w:p>
        </w:tc>
        <w:tc>
          <w:tcPr>
            <w:tcW w:w="2457" w:type="dxa"/>
            <w:tcBorders>
              <w:top w:val="nil"/>
              <w:left w:val="nil"/>
              <w:bottom w:val="single" w:sz="4" w:space="0" w:color="auto"/>
              <w:right w:val="single" w:sz="4" w:space="0" w:color="auto"/>
            </w:tcBorders>
            <w:noWrap/>
            <w:vAlign w:val="center"/>
            <w:hideMark/>
          </w:tcPr>
          <w:p w14:paraId="27ABC630"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19</w:t>
            </w:r>
          </w:p>
        </w:tc>
      </w:tr>
      <w:tr w:rsidR="00013E91" w:rsidRPr="00232EBB" w14:paraId="3570358D" w14:textId="77777777" w:rsidTr="00013E91">
        <w:trPr>
          <w:trHeight w:val="353"/>
          <w:jc w:val="center"/>
        </w:trPr>
        <w:tc>
          <w:tcPr>
            <w:tcW w:w="1467" w:type="dxa"/>
            <w:tcBorders>
              <w:top w:val="nil"/>
              <w:left w:val="single" w:sz="4" w:space="0" w:color="auto"/>
              <w:bottom w:val="single" w:sz="4" w:space="0" w:color="auto"/>
              <w:right w:val="single" w:sz="4" w:space="0" w:color="auto"/>
            </w:tcBorders>
            <w:noWrap/>
            <w:vAlign w:val="center"/>
            <w:hideMark/>
          </w:tcPr>
          <w:p w14:paraId="1ADD382D"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Jun</w:t>
            </w:r>
          </w:p>
        </w:tc>
        <w:tc>
          <w:tcPr>
            <w:tcW w:w="2335" w:type="dxa"/>
            <w:tcBorders>
              <w:top w:val="nil"/>
              <w:left w:val="nil"/>
              <w:bottom w:val="single" w:sz="4" w:space="0" w:color="auto"/>
              <w:right w:val="single" w:sz="4" w:space="0" w:color="auto"/>
            </w:tcBorders>
            <w:noWrap/>
            <w:vAlign w:val="center"/>
            <w:hideMark/>
          </w:tcPr>
          <w:p w14:paraId="33C0D836"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42</w:t>
            </w:r>
          </w:p>
        </w:tc>
        <w:tc>
          <w:tcPr>
            <w:tcW w:w="2457" w:type="dxa"/>
            <w:tcBorders>
              <w:top w:val="nil"/>
              <w:left w:val="nil"/>
              <w:bottom w:val="single" w:sz="4" w:space="0" w:color="auto"/>
              <w:right w:val="single" w:sz="4" w:space="0" w:color="auto"/>
            </w:tcBorders>
            <w:noWrap/>
            <w:vAlign w:val="center"/>
            <w:hideMark/>
          </w:tcPr>
          <w:p w14:paraId="08335C7F"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18</w:t>
            </w:r>
          </w:p>
        </w:tc>
      </w:tr>
      <w:tr w:rsidR="00013E91" w:rsidRPr="00232EBB" w14:paraId="2BD14B82" w14:textId="77777777" w:rsidTr="00013E91">
        <w:trPr>
          <w:trHeight w:val="353"/>
          <w:jc w:val="center"/>
        </w:trPr>
        <w:tc>
          <w:tcPr>
            <w:tcW w:w="1467" w:type="dxa"/>
            <w:tcBorders>
              <w:top w:val="nil"/>
              <w:left w:val="single" w:sz="4" w:space="0" w:color="auto"/>
              <w:bottom w:val="single" w:sz="4" w:space="0" w:color="auto"/>
              <w:right w:val="single" w:sz="4" w:space="0" w:color="auto"/>
            </w:tcBorders>
            <w:noWrap/>
            <w:vAlign w:val="center"/>
            <w:hideMark/>
          </w:tcPr>
          <w:p w14:paraId="2CC32BA7"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Jul</w:t>
            </w:r>
          </w:p>
        </w:tc>
        <w:tc>
          <w:tcPr>
            <w:tcW w:w="2335" w:type="dxa"/>
            <w:tcBorders>
              <w:top w:val="nil"/>
              <w:left w:val="nil"/>
              <w:bottom w:val="single" w:sz="4" w:space="0" w:color="auto"/>
              <w:right w:val="single" w:sz="4" w:space="0" w:color="auto"/>
            </w:tcBorders>
            <w:noWrap/>
            <w:vAlign w:val="center"/>
            <w:hideMark/>
          </w:tcPr>
          <w:p w14:paraId="566E7FCE"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14</w:t>
            </w:r>
          </w:p>
        </w:tc>
        <w:tc>
          <w:tcPr>
            <w:tcW w:w="2457" w:type="dxa"/>
            <w:tcBorders>
              <w:top w:val="nil"/>
              <w:left w:val="nil"/>
              <w:bottom w:val="single" w:sz="4" w:space="0" w:color="auto"/>
              <w:right w:val="single" w:sz="4" w:space="0" w:color="auto"/>
            </w:tcBorders>
            <w:noWrap/>
            <w:vAlign w:val="center"/>
            <w:hideMark/>
          </w:tcPr>
          <w:p w14:paraId="6829EF61"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23</w:t>
            </w:r>
          </w:p>
        </w:tc>
      </w:tr>
      <w:tr w:rsidR="00013E91" w:rsidRPr="00232EBB" w14:paraId="27141C90" w14:textId="77777777" w:rsidTr="00013E91">
        <w:trPr>
          <w:trHeight w:val="353"/>
          <w:jc w:val="center"/>
        </w:trPr>
        <w:tc>
          <w:tcPr>
            <w:tcW w:w="1467" w:type="dxa"/>
            <w:tcBorders>
              <w:top w:val="nil"/>
              <w:left w:val="single" w:sz="4" w:space="0" w:color="auto"/>
              <w:bottom w:val="single" w:sz="4" w:space="0" w:color="auto"/>
              <w:right w:val="single" w:sz="4" w:space="0" w:color="auto"/>
            </w:tcBorders>
            <w:noWrap/>
            <w:vAlign w:val="center"/>
            <w:hideMark/>
          </w:tcPr>
          <w:p w14:paraId="174A89F4"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Ago</w:t>
            </w:r>
          </w:p>
        </w:tc>
        <w:tc>
          <w:tcPr>
            <w:tcW w:w="2335" w:type="dxa"/>
            <w:tcBorders>
              <w:top w:val="nil"/>
              <w:left w:val="nil"/>
              <w:bottom w:val="single" w:sz="4" w:space="0" w:color="auto"/>
              <w:right w:val="single" w:sz="4" w:space="0" w:color="auto"/>
            </w:tcBorders>
            <w:noWrap/>
            <w:vAlign w:val="center"/>
            <w:hideMark/>
          </w:tcPr>
          <w:p w14:paraId="219B134F"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30</w:t>
            </w:r>
          </w:p>
        </w:tc>
        <w:tc>
          <w:tcPr>
            <w:tcW w:w="2457" w:type="dxa"/>
            <w:tcBorders>
              <w:top w:val="nil"/>
              <w:left w:val="nil"/>
              <w:bottom w:val="single" w:sz="4" w:space="0" w:color="auto"/>
              <w:right w:val="single" w:sz="4" w:space="0" w:color="auto"/>
            </w:tcBorders>
            <w:noWrap/>
            <w:vAlign w:val="center"/>
            <w:hideMark/>
          </w:tcPr>
          <w:p w14:paraId="554083FB"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21</w:t>
            </w:r>
          </w:p>
        </w:tc>
      </w:tr>
      <w:tr w:rsidR="00013E91" w:rsidRPr="00232EBB" w14:paraId="72FB6154" w14:textId="77777777" w:rsidTr="00013E91">
        <w:trPr>
          <w:trHeight w:val="353"/>
          <w:jc w:val="center"/>
        </w:trPr>
        <w:tc>
          <w:tcPr>
            <w:tcW w:w="1467" w:type="dxa"/>
            <w:tcBorders>
              <w:top w:val="nil"/>
              <w:left w:val="single" w:sz="4" w:space="0" w:color="auto"/>
              <w:bottom w:val="single" w:sz="4" w:space="0" w:color="auto"/>
              <w:right w:val="single" w:sz="4" w:space="0" w:color="auto"/>
            </w:tcBorders>
            <w:noWrap/>
            <w:vAlign w:val="center"/>
            <w:hideMark/>
          </w:tcPr>
          <w:p w14:paraId="499874C3"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Sep</w:t>
            </w:r>
          </w:p>
        </w:tc>
        <w:tc>
          <w:tcPr>
            <w:tcW w:w="2335" w:type="dxa"/>
            <w:tcBorders>
              <w:top w:val="nil"/>
              <w:left w:val="nil"/>
              <w:bottom w:val="single" w:sz="4" w:space="0" w:color="auto"/>
              <w:right w:val="single" w:sz="4" w:space="0" w:color="auto"/>
            </w:tcBorders>
            <w:noWrap/>
            <w:vAlign w:val="center"/>
            <w:hideMark/>
          </w:tcPr>
          <w:p w14:paraId="78C43C5F"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38</w:t>
            </w:r>
          </w:p>
        </w:tc>
        <w:tc>
          <w:tcPr>
            <w:tcW w:w="2457" w:type="dxa"/>
            <w:tcBorders>
              <w:top w:val="nil"/>
              <w:left w:val="nil"/>
              <w:bottom w:val="single" w:sz="4" w:space="0" w:color="auto"/>
              <w:right w:val="single" w:sz="4" w:space="0" w:color="auto"/>
            </w:tcBorders>
            <w:noWrap/>
            <w:vAlign w:val="center"/>
            <w:hideMark/>
          </w:tcPr>
          <w:p w14:paraId="1B4CF90E"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30</w:t>
            </w:r>
          </w:p>
        </w:tc>
      </w:tr>
      <w:tr w:rsidR="00013E91" w:rsidRPr="00232EBB" w14:paraId="67C74DA5" w14:textId="77777777" w:rsidTr="00013E91">
        <w:trPr>
          <w:trHeight w:val="353"/>
          <w:jc w:val="center"/>
        </w:trPr>
        <w:tc>
          <w:tcPr>
            <w:tcW w:w="1467" w:type="dxa"/>
            <w:tcBorders>
              <w:top w:val="nil"/>
              <w:left w:val="single" w:sz="4" w:space="0" w:color="auto"/>
              <w:bottom w:val="single" w:sz="4" w:space="0" w:color="auto"/>
              <w:right w:val="single" w:sz="4" w:space="0" w:color="auto"/>
            </w:tcBorders>
            <w:noWrap/>
            <w:vAlign w:val="center"/>
            <w:hideMark/>
          </w:tcPr>
          <w:p w14:paraId="30D1CC27"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Oct</w:t>
            </w:r>
          </w:p>
        </w:tc>
        <w:tc>
          <w:tcPr>
            <w:tcW w:w="2335" w:type="dxa"/>
            <w:tcBorders>
              <w:top w:val="nil"/>
              <w:left w:val="nil"/>
              <w:bottom w:val="single" w:sz="4" w:space="0" w:color="auto"/>
              <w:right w:val="single" w:sz="4" w:space="0" w:color="auto"/>
            </w:tcBorders>
            <w:noWrap/>
            <w:vAlign w:val="center"/>
            <w:hideMark/>
          </w:tcPr>
          <w:p w14:paraId="7B91B8B9"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23</w:t>
            </w:r>
          </w:p>
        </w:tc>
        <w:tc>
          <w:tcPr>
            <w:tcW w:w="2457" w:type="dxa"/>
            <w:tcBorders>
              <w:top w:val="nil"/>
              <w:left w:val="nil"/>
              <w:bottom w:val="single" w:sz="4" w:space="0" w:color="auto"/>
              <w:right w:val="single" w:sz="4" w:space="0" w:color="auto"/>
            </w:tcBorders>
            <w:noWrap/>
            <w:vAlign w:val="center"/>
            <w:hideMark/>
          </w:tcPr>
          <w:p w14:paraId="20689921"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19</w:t>
            </w:r>
          </w:p>
        </w:tc>
      </w:tr>
      <w:tr w:rsidR="00013E91" w:rsidRPr="00232EBB" w14:paraId="55B84950" w14:textId="77777777" w:rsidTr="00013E91">
        <w:trPr>
          <w:trHeight w:val="353"/>
          <w:jc w:val="center"/>
        </w:trPr>
        <w:tc>
          <w:tcPr>
            <w:tcW w:w="1467" w:type="dxa"/>
            <w:tcBorders>
              <w:top w:val="nil"/>
              <w:left w:val="single" w:sz="4" w:space="0" w:color="auto"/>
              <w:bottom w:val="single" w:sz="4" w:space="0" w:color="auto"/>
              <w:right w:val="single" w:sz="4" w:space="0" w:color="auto"/>
            </w:tcBorders>
            <w:noWrap/>
            <w:vAlign w:val="center"/>
            <w:hideMark/>
          </w:tcPr>
          <w:p w14:paraId="63FA97CB"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Nov</w:t>
            </w:r>
          </w:p>
        </w:tc>
        <w:tc>
          <w:tcPr>
            <w:tcW w:w="2335" w:type="dxa"/>
            <w:tcBorders>
              <w:top w:val="nil"/>
              <w:left w:val="nil"/>
              <w:bottom w:val="single" w:sz="4" w:space="0" w:color="auto"/>
              <w:right w:val="single" w:sz="4" w:space="0" w:color="auto"/>
            </w:tcBorders>
            <w:noWrap/>
            <w:vAlign w:val="center"/>
            <w:hideMark/>
          </w:tcPr>
          <w:p w14:paraId="1F9E3352"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29</w:t>
            </w:r>
          </w:p>
        </w:tc>
        <w:tc>
          <w:tcPr>
            <w:tcW w:w="2457" w:type="dxa"/>
            <w:tcBorders>
              <w:top w:val="nil"/>
              <w:left w:val="nil"/>
              <w:bottom w:val="single" w:sz="4" w:space="0" w:color="auto"/>
              <w:right w:val="single" w:sz="4" w:space="0" w:color="auto"/>
            </w:tcBorders>
            <w:noWrap/>
            <w:vAlign w:val="center"/>
            <w:hideMark/>
          </w:tcPr>
          <w:p w14:paraId="13238BD6"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23</w:t>
            </w:r>
          </w:p>
        </w:tc>
      </w:tr>
      <w:tr w:rsidR="00013E91" w:rsidRPr="00232EBB" w14:paraId="64EFBD82" w14:textId="77777777" w:rsidTr="00013E91">
        <w:trPr>
          <w:trHeight w:val="353"/>
          <w:jc w:val="center"/>
        </w:trPr>
        <w:tc>
          <w:tcPr>
            <w:tcW w:w="1467" w:type="dxa"/>
            <w:tcBorders>
              <w:top w:val="nil"/>
              <w:left w:val="single" w:sz="4" w:space="0" w:color="auto"/>
              <w:bottom w:val="single" w:sz="4" w:space="0" w:color="auto"/>
              <w:right w:val="single" w:sz="4" w:space="0" w:color="auto"/>
            </w:tcBorders>
            <w:noWrap/>
            <w:vAlign w:val="center"/>
          </w:tcPr>
          <w:p w14:paraId="19E16139"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Dic</w:t>
            </w:r>
          </w:p>
        </w:tc>
        <w:tc>
          <w:tcPr>
            <w:tcW w:w="2335" w:type="dxa"/>
            <w:tcBorders>
              <w:top w:val="nil"/>
              <w:left w:val="nil"/>
              <w:bottom w:val="single" w:sz="4" w:space="0" w:color="auto"/>
              <w:right w:val="single" w:sz="4" w:space="0" w:color="auto"/>
            </w:tcBorders>
            <w:noWrap/>
            <w:vAlign w:val="center"/>
          </w:tcPr>
          <w:p w14:paraId="765B9568" w14:textId="33034C5F" w:rsidR="00013E91" w:rsidRPr="00232EBB" w:rsidRDefault="00F85E14"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19</w:t>
            </w:r>
          </w:p>
        </w:tc>
        <w:tc>
          <w:tcPr>
            <w:tcW w:w="2457" w:type="dxa"/>
            <w:tcBorders>
              <w:top w:val="nil"/>
              <w:left w:val="nil"/>
              <w:bottom w:val="single" w:sz="4" w:space="0" w:color="auto"/>
              <w:right w:val="single" w:sz="4" w:space="0" w:color="auto"/>
            </w:tcBorders>
            <w:noWrap/>
            <w:vAlign w:val="center"/>
          </w:tcPr>
          <w:p w14:paraId="327F9E7C" w14:textId="27C01133" w:rsidR="00013E91" w:rsidRPr="00232EBB" w:rsidRDefault="00F85E14"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17</w:t>
            </w:r>
          </w:p>
        </w:tc>
      </w:tr>
      <w:tr w:rsidR="00013E91" w:rsidRPr="00232EBB" w14:paraId="48A1F5E5" w14:textId="77777777" w:rsidTr="00013E91">
        <w:trPr>
          <w:trHeight w:val="353"/>
          <w:jc w:val="center"/>
        </w:trPr>
        <w:tc>
          <w:tcPr>
            <w:tcW w:w="1467" w:type="dxa"/>
            <w:tcBorders>
              <w:top w:val="nil"/>
              <w:left w:val="single" w:sz="4" w:space="0" w:color="auto"/>
              <w:bottom w:val="single" w:sz="4" w:space="0" w:color="auto"/>
              <w:right w:val="single" w:sz="4" w:space="0" w:color="auto"/>
            </w:tcBorders>
            <w:noWrap/>
            <w:vAlign w:val="center"/>
            <w:hideMark/>
          </w:tcPr>
          <w:p w14:paraId="5C46027C" w14:textId="77777777" w:rsidR="00013E91" w:rsidRPr="00232EBB" w:rsidRDefault="00013E91" w:rsidP="0055368C">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TOTAL</w:t>
            </w:r>
          </w:p>
        </w:tc>
        <w:tc>
          <w:tcPr>
            <w:tcW w:w="2335" w:type="dxa"/>
            <w:tcBorders>
              <w:top w:val="nil"/>
              <w:left w:val="nil"/>
              <w:bottom w:val="single" w:sz="4" w:space="0" w:color="auto"/>
              <w:right w:val="single" w:sz="4" w:space="0" w:color="auto"/>
            </w:tcBorders>
            <w:noWrap/>
            <w:vAlign w:val="center"/>
            <w:hideMark/>
          </w:tcPr>
          <w:p w14:paraId="04DA3C39" w14:textId="3D65FC4A" w:rsidR="00013E91" w:rsidRPr="00232EBB" w:rsidRDefault="00F85E14" w:rsidP="0055368C">
            <w:pPr>
              <w:spacing w:after="0" w:line="240" w:lineRule="auto"/>
              <w:jc w:val="center"/>
              <w:rPr>
                <w:rFonts w:eastAsia="Calibri"/>
                <w:b/>
                <w:bCs/>
                <w:noProof/>
                <w:color w:val="808080" w:themeColor="background1" w:themeShade="80"/>
                <w:sz w:val="22"/>
                <w:szCs w:val="22"/>
                <w:lang w:val="es-MX"/>
              </w:rPr>
            </w:pPr>
            <w:r w:rsidRPr="00232EBB">
              <w:rPr>
                <w:rFonts w:eastAsia="Calibri"/>
                <w:b/>
                <w:bCs/>
                <w:noProof/>
                <w:color w:val="808080" w:themeColor="background1" w:themeShade="80"/>
                <w:sz w:val="22"/>
                <w:szCs w:val="22"/>
                <w:lang w:val="es-MX"/>
              </w:rPr>
              <w:t>273</w:t>
            </w:r>
          </w:p>
        </w:tc>
        <w:tc>
          <w:tcPr>
            <w:tcW w:w="2457" w:type="dxa"/>
            <w:tcBorders>
              <w:top w:val="nil"/>
              <w:left w:val="nil"/>
              <w:bottom w:val="single" w:sz="4" w:space="0" w:color="auto"/>
              <w:right w:val="single" w:sz="4" w:space="0" w:color="auto"/>
            </w:tcBorders>
            <w:noWrap/>
            <w:vAlign w:val="center"/>
            <w:hideMark/>
          </w:tcPr>
          <w:p w14:paraId="4344FCC5" w14:textId="0BA07F59" w:rsidR="00013E91" w:rsidRPr="00232EBB" w:rsidRDefault="00F85E14" w:rsidP="0055368C">
            <w:pPr>
              <w:spacing w:after="0" w:line="240" w:lineRule="auto"/>
              <w:jc w:val="center"/>
              <w:rPr>
                <w:rFonts w:eastAsia="Calibri"/>
                <w:b/>
                <w:bCs/>
                <w:noProof/>
                <w:color w:val="808080" w:themeColor="background1" w:themeShade="80"/>
                <w:sz w:val="22"/>
                <w:szCs w:val="22"/>
                <w:lang w:val="es-MX"/>
              </w:rPr>
            </w:pPr>
            <w:r w:rsidRPr="00232EBB">
              <w:rPr>
                <w:rFonts w:eastAsia="Calibri"/>
                <w:b/>
                <w:bCs/>
                <w:noProof/>
                <w:color w:val="808080" w:themeColor="background1" w:themeShade="80"/>
                <w:sz w:val="22"/>
                <w:szCs w:val="22"/>
                <w:lang w:val="es-MX"/>
              </w:rPr>
              <w:t>212</w:t>
            </w:r>
          </w:p>
        </w:tc>
      </w:tr>
    </w:tbl>
    <w:p w14:paraId="746C1088" w14:textId="033F3C7D" w:rsidR="00A02E84" w:rsidRPr="00232EBB" w:rsidRDefault="00A02E84" w:rsidP="00A02E84">
      <w:pPr>
        <w:spacing w:before="240" w:after="0" w:line="360" w:lineRule="auto"/>
        <w:ind w:right="-180"/>
        <w:jc w:val="both"/>
        <w:rPr>
          <w:rFonts w:eastAsia="Calibri"/>
          <w:noProof/>
          <w:color w:val="808080" w:themeColor="background1" w:themeShade="80"/>
          <w:sz w:val="18"/>
          <w:szCs w:val="18"/>
          <w:lang w:val="es-ES"/>
        </w:rPr>
      </w:pPr>
      <w:r w:rsidRPr="00232EBB">
        <w:rPr>
          <w:rFonts w:eastAsia="Calibri"/>
          <w:b/>
          <w:bCs/>
          <w:noProof/>
          <w:color w:val="808080" w:themeColor="background1" w:themeShade="80"/>
          <w:sz w:val="18"/>
          <w:szCs w:val="18"/>
          <w:lang w:val="es-ES"/>
        </w:rPr>
        <w:lastRenderedPageBreak/>
        <w:t>Tabla 1</w:t>
      </w:r>
      <w:r w:rsidR="00E27BAB">
        <w:rPr>
          <w:rFonts w:eastAsia="Calibri"/>
          <w:b/>
          <w:bCs/>
          <w:noProof/>
          <w:color w:val="808080" w:themeColor="background1" w:themeShade="80"/>
          <w:sz w:val="18"/>
          <w:szCs w:val="18"/>
          <w:lang w:val="es-ES"/>
        </w:rPr>
        <w:t>5</w:t>
      </w:r>
      <w:r w:rsidRPr="00232EBB">
        <w:rPr>
          <w:rFonts w:eastAsia="Calibri"/>
          <w:b/>
          <w:bCs/>
          <w:noProof/>
          <w:color w:val="808080" w:themeColor="background1" w:themeShade="80"/>
          <w:sz w:val="18"/>
          <w:szCs w:val="18"/>
          <w:lang w:val="es-ES"/>
        </w:rPr>
        <w:t xml:space="preserve">: </w:t>
      </w:r>
      <w:r w:rsidRPr="00232EBB">
        <w:rPr>
          <w:rFonts w:eastAsia="Calibri"/>
          <w:noProof/>
          <w:color w:val="808080" w:themeColor="background1" w:themeShade="80"/>
          <w:sz w:val="18"/>
          <w:szCs w:val="18"/>
          <w:lang w:val="es-ES"/>
        </w:rPr>
        <w:t xml:space="preserve">Total de procesos publicados y adjudicados </w:t>
      </w:r>
      <w:r w:rsidR="0085502A" w:rsidRPr="00232EBB">
        <w:rPr>
          <w:rFonts w:eastAsia="Calibri"/>
          <w:noProof/>
          <w:color w:val="808080" w:themeColor="background1" w:themeShade="80"/>
          <w:sz w:val="18"/>
          <w:szCs w:val="18"/>
          <w:lang w:val="es-ES"/>
        </w:rPr>
        <w:t>al cierre de diciembre</w:t>
      </w:r>
      <w:r w:rsidRPr="00232EBB">
        <w:rPr>
          <w:rFonts w:eastAsia="Calibri"/>
          <w:noProof/>
          <w:color w:val="808080" w:themeColor="background1" w:themeShade="80"/>
          <w:sz w:val="18"/>
          <w:szCs w:val="18"/>
          <w:lang w:val="es-ES"/>
        </w:rPr>
        <w:t xml:space="preserve"> 202</w:t>
      </w:r>
      <w:r w:rsidR="0032575C" w:rsidRPr="00232EBB">
        <w:rPr>
          <w:rFonts w:eastAsia="Calibri"/>
          <w:noProof/>
          <w:color w:val="808080" w:themeColor="background1" w:themeShade="80"/>
          <w:sz w:val="18"/>
          <w:szCs w:val="18"/>
          <w:lang w:val="es-ES"/>
        </w:rPr>
        <w:t>5</w:t>
      </w:r>
      <w:r w:rsidRPr="00232EBB">
        <w:rPr>
          <w:rFonts w:eastAsia="Calibri"/>
          <w:noProof/>
          <w:color w:val="808080" w:themeColor="background1" w:themeShade="80"/>
          <w:sz w:val="18"/>
          <w:szCs w:val="18"/>
          <w:lang w:val="es-ES"/>
        </w:rPr>
        <w:t>.</w:t>
      </w:r>
    </w:p>
    <w:p w14:paraId="046D3512" w14:textId="1486BAD5" w:rsidR="00013E91" w:rsidRPr="00232EBB" w:rsidRDefault="00013E91" w:rsidP="00013E91">
      <w:pPr>
        <w:spacing w:before="240" w:after="0" w:line="360" w:lineRule="auto"/>
        <w:ind w:right="-180"/>
        <w:jc w:val="both"/>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 xml:space="preserve">Esta ejecución de procesos se mide por medio de dos subindicadores, el primer Subindicador Gestión de Procesos, que mide que los procesos publicados se encuentran gestionados en el SECP, agotando cada una de las etapas establecidas del cronograma, tiene una ponderación de 15 puntos. </w:t>
      </w:r>
    </w:p>
    <w:p w14:paraId="20846B94" w14:textId="26E3C3F8" w:rsidR="0032575C" w:rsidRPr="00232EBB" w:rsidRDefault="002B745B" w:rsidP="009333AD">
      <w:pPr>
        <w:spacing w:after="0" w:line="360" w:lineRule="auto"/>
        <w:rPr>
          <w:noProof/>
          <w:color w:val="808080" w:themeColor="background1" w:themeShade="80"/>
        </w:rPr>
      </w:pPr>
      <w:r w:rsidRPr="002B745B">
        <w:rPr>
          <w:noProof/>
          <w:color w:val="AEAAAA" w:themeColor="background2" w:themeShade="BF"/>
        </w:rPr>
        <w:drawing>
          <wp:inline distT="0" distB="0" distL="0" distR="0" wp14:anchorId="7B442E1D" wp14:editId="13798CF1">
            <wp:extent cx="4872037" cy="3248025"/>
            <wp:effectExtent l="0" t="0" r="0" b="0"/>
            <wp:docPr id="1067612712" name="Chart 1">
              <a:extLst xmlns:a="http://schemas.openxmlformats.org/drawingml/2006/main">
                <a:ext uri="{FF2B5EF4-FFF2-40B4-BE49-F238E27FC236}">
                  <a16:creationId xmlns:a16="http://schemas.microsoft.com/office/drawing/2014/main" id="{75C29659-BD87-3D0F-EEFF-7602C9383FF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2301FD7" w14:textId="669CC136" w:rsidR="00A02E84" w:rsidRPr="00232EBB" w:rsidRDefault="00A02E84" w:rsidP="009333AD">
      <w:pPr>
        <w:spacing w:after="0" w:line="360" w:lineRule="auto"/>
        <w:rPr>
          <w:rFonts w:eastAsia="Calibri"/>
          <w:noProof/>
          <w:color w:val="808080" w:themeColor="background1" w:themeShade="80"/>
          <w:sz w:val="18"/>
          <w:szCs w:val="18"/>
          <w:lang w:val="es-ES"/>
        </w:rPr>
      </w:pPr>
      <w:r w:rsidRPr="00232EBB">
        <w:rPr>
          <w:rFonts w:eastAsia="Calibri"/>
          <w:b/>
          <w:bCs/>
          <w:noProof/>
          <w:color w:val="808080" w:themeColor="background1" w:themeShade="80"/>
          <w:sz w:val="18"/>
          <w:szCs w:val="18"/>
          <w:lang w:val="es-ES"/>
        </w:rPr>
        <w:t xml:space="preserve">Gráfico </w:t>
      </w:r>
      <w:r w:rsidR="000743EE" w:rsidRPr="00232EBB">
        <w:rPr>
          <w:rFonts w:eastAsia="Calibri"/>
          <w:b/>
          <w:bCs/>
          <w:noProof/>
          <w:color w:val="808080" w:themeColor="background1" w:themeShade="80"/>
          <w:sz w:val="18"/>
          <w:szCs w:val="18"/>
          <w:lang w:val="es-ES"/>
        </w:rPr>
        <w:t>6</w:t>
      </w:r>
      <w:r w:rsidRPr="00232EBB">
        <w:rPr>
          <w:rFonts w:eastAsia="Calibri"/>
          <w:b/>
          <w:bCs/>
          <w:noProof/>
          <w:color w:val="808080" w:themeColor="background1" w:themeShade="80"/>
          <w:sz w:val="18"/>
          <w:szCs w:val="18"/>
          <w:lang w:val="es-ES"/>
        </w:rPr>
        <w:t>:</w:t>
      </w:r>
      <w:r w:rsidR="0032575C" w:rsidRPr="00232EBB">
        <w:rPr>
          <w:rFonts w:eastAsia="Calibri"/>
          <w:b/>
          <w:bCs/>
          <w:noProof/>
          <w:color w:val="808080" w:themeColor="background1" w:themeShade="80"/>
          <w:sz w:val="18"/>
          <w:szCs w:val="18"/>
          <w:lang w:val="es-ES"/>
        </w:rPr>
        <w:t xml:space="preserve"> </w:t>
      </w:r>
      <w:r w:rsidRPr="00232EBB">
        <w:rPr>
          <w:rFonts w:eastAsia="Calibri"/>
          <w:noProof/>
          <w:color w:val="808080" w:themeColor="background1" w:themeShade="80"/>
          <w:sz w:val="18"/>
          <w:szCs w:val="18"/>
          <w:lang w:val="es-ES"/>
        </w:rPr>
        <w:t>Gestión de procesos</w:t>
      </w:r>
      <w:r w:rsidRPr="00232EBB">
        <w:rPr>
          <w:rFonts w:eastAsia="Calibri"/>
          <w:b/>
          <w:bCs/>
          <w:noProof/>
          <w:color w:val="808080" w:themeColor="background1" w:themeShade="80"/>
          <w:sz w:val="18"/>
          <w:szCs w:val="18"/>
          <w:lang w:val="es-ES"/>
        </w:rPr>
        <w:t xml:space="preserve"> </w:t>
      </w:r>
      <w:r w:rsidRPr="00232EBB">
        <w:rPr>
          <w:rFonts w:eastAsia="Calibri"/>
          <w:noProof/>
          <w:color w:val="808080" w:themeColor="background1" w:themeShade="80"/>
          <w:sz w:val="18"/>
          <w:szCs w:val="18"/>
          <w:lang w:val="es-ES"/>
        </w:rPr>
        <w:t xml:space="preserve">al </w:t>
      </w:r>
      <w:r w:rsidR="00E14CB6" w:rsidRPr="00232EBB">
        <w:rPr>
          <w:rFonts w:eastAsia="Calibri"/>
          <w:noProof/>
          <w:color w:val="808080" w:themeColor="background1" w:themeShade="80"/>
          <w:sz w:val="18"/>
          <w:szCs w:val="18"/>
          <w:lang w:val="es-ES"/>
        </w:rPr>
        <w:t>cierre del</w:t>
      </w:r>
      <w:r w:rsidR="001E21CC" w:rsidRPr="00232EBB">
        <w:rPr>
          <w:rFonts w:eastAsia="Calibri"/>
          <w:noProof/>
          <w:color w:val="808080" w:themeColor="background1" w:themeShade="80"/>
          <w:sz w:val="18"/>
          <w:szCs w:val="18"/>
          <w:lang w:val="es-ES"/>
        </w:rPr>
        <w:t xml:space="preserve"> </w:t>
      </w:r>
      <w:r w:rsidRPr="00232EBB">
        <w:rPr>
          <w:rFonts w:eastAsia="Calibri"/>
          <w:noProof/>
          <w:color w:val="808080" w:themeColor="background1" w:themeShade="80"/>
          <w:sz w:val="18"/>
          <w:szCs w:val="18"/>
          <w:lang w:val="es-ES"/>
        </w:rPr>
        <w:t>202</w:t>
      </w:r>
      <w:r w:rsidR="001E21CC" w:rsidRPr="00232EBB">
        <w:rPr>
          <w:rFonts w:eastAsia="Calibri"/>
          <w:noProof/>
          <w:color w:val="808080" w:themeColor="background1" w:themeShade="80"/>
          <w:sz w:val="18"/>
          <w:szCs w:val="18"/>
          <w:lang w:val="es-ES"/>
        </w:rPr>
        <w:t>5</w:t>
      </w:r>
      <w:r w:rsidRPr="00232EBB">
        <w:rPr>
          <w:rFonts w:eastAsia="Calibri"/>
          <w:noProof/>
          <w:color w:val="808080" w:themeColor="background1" w:themeShade="80"/>
          <w:sz w:val="18"/>
          <w:szCs w:val="18"/>
          <w:lang w:val="es-ES"/>
        </w:rPr>
        <w:t>.</w:t>
      </w:r>
    </w:p>
    <w:p w14:paraId="68AE57E4" w14:textId="2E509964" w:rsidR="00E14CB6" w:rsidRPr="00232EBB" w:rsidRDefault="00E14CB6" w:rsidP="009333AD">
      <w:pPr>
        <w:spacing w:after="0" w:line="360" w:lineRule="auto"/>
        <w:rPr>
          <w:noProof/>
          <w:color w:val="808080" w:themeColor="background1" w:themeShade="80"/>
          <w:lang w:val="es-ES"/>
        </w:rPr>
      </w:pPr>
    </w:p>
    <w:p w14:paraId="4B6FB056" w14:textId="167B7971" w:rsidR="001E21CC" w:rsidRPr="00232EBB" w:rsidRDefault="001E21CC" w:rsidP="0038526E">
      <w:pPr>
        <w:spacing w:line="360" w:lineRule="auto"/>
        <w:jc w:val="both"/>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 xml:space="preserve">El tercer subindicador, Tiempo de Gestión de Procesos, que mide que los procesos sean adjudicados según la fecha estimada de adjudicación establecida en el cronograma, con una ponderación de 15 puntos. </w:t>
      </w:r>
    </w:p>
    <w:p w14:paraId="0E9C2E58" w14:textId="72293220" w:rsidR="001E21CC" w:rsidRPr="00232EBB" w:rsidRDefault="002B745B" w:rsidP="0038526E">
      <w:pPr>
        <w:spacing w:line="360" w:lineRule="auto"/>
        <w:jc w:val="both"/>
        <w:rPr>
          <w:rFonts w:eastAsia="Calibri"/>
          <w:noProof/>
          <w:color w:val="808080" w:themeColor="background1" w:themeShade="80"/>
          <w:sz w:val="22"/>
          <w:szCs w:val="22"/>
          <w:lang w:val="es-MX"/>
        </w:rPr>
      </w:pPr>
      <w:r>
        <w:rPr>
          <w:noProof/>
        </w:rPr>
        <w:lastRenderedPageBreak/>
        <w:drawing>
          <wp:anchor distT="0" distB="0" distL="114300" distR="114300" simplePos="0" relativeHeight="251717668" behindDoc="0" locked="0" layoutInCell="1" allowOverlap="1" wp14:anchorId="575ED9DB" wp14:editId="6BF9BAF0">
            <wp:simplePos x="0" y="0"/>
            <wp:positionH relativeFrom="margin">
              <wp:align>left</wp:align>
            </wp:positionH>
            <wp:positionV relativeFrom="margin">
              <wp:posOffset>5667375</wp:posOffset>
            </wp:positionV>
            <wp:extent cx="4752975" cy="2543175"/>
            <wp:effectExtent l="0" t="0" r="0" b="0"/>
            <wp:wrapSquare wrapText="bothSides"/>
            <wp:docPr id="1864168024" name="Chart 1">
              <a:extLst xmlns:a="http://schemas.openxmlformats.org/drawingml/2006/main">
                <a:ext uri="{FF2B5EF4-FFF2-40B4-BE49-F238E27FC236}">
                  <a16:creationId xmlns:a16="http://schemas.microsoft.com/office/drawing/2014/main" id="{C8AF58C9-3F2B-5BF3-A3C1-3A13C2AF28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anchor>
        </w:drawing>
      </w:r>
      <w:r w:rsidR="001E21CC" w:rsidRPr="00232EBB">
        <w:rPr>
          <w:rFonts w:eastAsia="Calibri"/>
          <w:noProof/>
          <w:color w:val="808080" w:themeColor="background1" w:themeShade="80"/>
          <w:sz w:val="22"/>
          <w:szCs w:val="22"/>
          <w:lang w:val="es-MX"/>
        </w:rPr>
        <w:t>Este indicador fue impactado durante el año 2025 con la actualización de la linea base del SISCOMPRAS, afectando en el primer trimestre.</w:t>
      </w:r>
    </w:p>
    <w:p w14:paraId="67C86897" w14:textId="53501A4E" w:rsidR="00A02E84" w:rsidRPr="00232EBB" w:rsidRDefault="00A02E84" w:rsidP="001E21CC">
      <w:pPr>
        <w:spacing w:before="240" w:after="0" w:line="360" w:lineRule="auto"/>
        <w:rPr>
          <w:rFonts w:eastAsia="Calibri"/>
          <w:noProof/>
          <w:color w:val="808080" w:themeColor="background1" w:themeShade="80"/>
          <w:sz w:val="18"/>
          <w:szCs w:val="18"/>
          <w:lang w:val="es-ES"/>
        </w:rPr>
      </w:pPr>
      <w:r w:rsidRPr="00232EBB">
        <w:rPr>
          <w:rFonts w:eastAsia="Calibri"/>
          <w:b/>
          <w:bCs/>
          <w:noProof/>
          <w:color w:val="808080" w:themeColor="background1" w:themeShade="80"/>
          <w:sz w:val="18"/>
          <w:szCs w:val="18"/>
          <w:lang w:val="es-ES"/>
        </w:rPr>
        <w:t xml:space="preserve">Gráfico </w:t>
      </w:r>
      <w:r w:rsidR="000743EE" w:rsidRPr="00232EBB">
        <w:rPr>
          <w:rFonts w:eastAsia="Calibri"/>
          <w:b/>
          <w:bCs/>
          <w:noProof/>
          <w:color w:val="808080" w:themeColor="background1" w:themeShade="80"/>
          <w:sz w:val="18"/>
          <w:szCs w:val="18"/>
          <w:lang w:val="es-ES"/>
        </w:rPr>
        <w:t>7</w:t>
      </w:r>
      <w:r w:rsidRPr="00232EBB">
        <w:rPr>
          <w:rFonts w:eastAsia="Calibri"/>
          <w:noProof/>
          <w:color w:val="808080" w:themeColor="background1" w:themeShade="80"/>
          <w:sz w:val="18"/>
          <w:szCs w:val="18"/>
          <w:lang w:val="es-ES"/>
        </w:rPr>
        <w:t xml:space="preserve">:Tiempo gestión de procesos al </w:t>
      </w:r>
      <w:r w:rsidR="00E14CB6" w:rsidRPr="00232EBB">
        <w:rPr>
          <w:rFonts w:eastAsia="Calibri"/>
          <w:noProof/>
          <w:color w:val="808080" w:themeColor="background1" w:themeShade="80"/>
          <w:sz w:val="18"/>
          <w:szCs w:val="18"/>
          <w:lang w:val="es-ES"/>
        </w:rPr>
        <w:t>cierre del</w:t>
      </w:r>
      <w:r w:rsidRPr="00232EBB">
        <w:rPr>
          <w:rFonts w:eastAsia="Calibri"/>
          <w:noProof/>
          <w:color w:val="808080" w:themeColor="background1" w:themeShade="80"/>
          <w:sz w:val="18"/>
          <w:szCs w:val="18"/>
          <w:lang w:val="es-ES"/>
        </w:rPr>
        <w:t xml:space="preserve"> 202</w:t>
      </w:r>
      <w:r w:rsidR="001E21CC" w:rsidRPr="00232EBB">
        <w:rPr>
          <w:rFonts w:eastAsia="Calibri"/>
          <w:noProof/>
          <w:color w:val="808080" w:themeColor="background1" w:themeShade="80"/>
          <w:sz w:val="18"/>
          <w:szCs w:val="18"/>
          <w:lang w:val="es-ES"/>
        </w:rPr>
        <w:t>5</w:t>
      </w:r>
      <w:r w:rsidRPr="00232EBB">
        <w:rPr>
          <w:rFonts w:eastAsia="Calibri"/>
          <w:noProof/>
          <w:color w:val="808080" w:themeColor="background1" w:themeShade="80"/>
          <w:sz w:val="18"/>
          <w:szCs w:val="18"/>
          <w:lang w:val="es-ES"/>
        </w:rPr>
        <w:t>.</w:t>
      </w:r>
    </w:p>
    <w:p w14:paraId="0D3DAA5B" w14:textId="54297632" w:rsidR="001E21CC" w:rsidRPr="00232EBB" w:rsidRDefault="00E56D7A" w:rsidP="001E21CC">
      <w:pPr>
        <w:spacing w:before="240" w:line="360" w:lineRule="auto"/>
        <w:jc w:val="both"/>
        <w:rPr>
          <w:rFonts w:eastAsia="Calibri"/>
          <w:noProof/>
          <w:color w:val="808080" w:themeColor="background1" w:themeShade="80"/>
          <w:sz w:val="22"/>
          <w:szCs w:val="22"/>
          <w:lang w:val="es-MX"/>
        </w:rPr>
      </w:pPr>
      <w:r>
        <w:rPr>
          <w:noProof/>
        </w:rPr>
        <w:drawing>
          <wp:anchor distT="0" distB="0" distL="114300" distR="114300" simplePos="0" relativeHeight="251720740" behindDoc="0" locked="0" layoutInCell="1" allowOverlap="1" wp14:anchorId="2E9C9C75" wp14:editId="444B4791">
            <wp:simplePos x="0" y="0"/>
            <wp:positionH relativeFrom="margin">
              <wp:posOffset>-152400</wp:posOffset>
            </wp:positionH>
            <wp:positionV relativeFrom="margin">
              <wp:posOffset>1590675</wp:posOffset>
            </wp:positionV>
            <wp:extent cx="5676900" cy="3401695"/>
            <wp:effectExtent l="0" t="0" r="0" b="8255"/>
            <wp:wrapSquare wrapText="bothSides"/>
            <wp:docPr id="1243380725" name="Chart 1">
              <a:extLst xmlns:a="http://schemas.openxmlformats.org/drawingml/2006/main">
                <a:ext uri="{FF2B5EF4-FFF2-40B4-BE49-F238E27FC236}">
                  <a16:creationId xmlns:a16="http://schemas.microsoft.com/office/drawing/2014/main" id="{A17AAA76-016B-E57E-6258-D2BFAE5B1A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anchor>
        </w:drawing>
      </w:r>
      <w:r w:rsidR="001E21CC" w:rsidRPr="00232EBB">
        <w:rPr>
          <w:rFonts w:eastAsia="Calibri"/>
          <w:noProof/>
          <w:color w:val="808080" w:themeColor="background1" w:themeShade="80"/>
          <w:sz w:val="22"/>
          <w:szCs w:val="22"/>
          <w:lang w:val="es-MX"/>
        </w:rPr>
        <w:t xml:space="preserve">El porcentaje de montos adjudicados por modalidad de compras </w:t>
      </w:r>
      <w:r w:rsidR="00CC60F9" w:rsidRPr="00232EBB">
        <w:rPr>
          <w:rFonts w:eastAsia="Calibri"/>
          <w:noProof/>
          <w:color w:val="808080" w:themeColor="background1" w:themeShade="80"/>
          <w:sz w:val="22"/>
          <w:szCs w:val="22"/>
          <w:lang w:val="es-MX"/>
        </w:rPr>
        <w:t>s</w:t>
      </w:r>
      <w:r w:rsidR="001E21CC" w:rsidRPr="00232EBB">
        <w:rPr>
          <w:rFonts w:eastAsia="Calibri"/>
          <w:noProof/>
          <w:color w:val="808080" w:themeColor="background1" w:themeShade="80"/>
          <w:sz w:val="22"/>
          <w:szCs w:val="22"/>
          <w:lang w:val="es-MX"/>
        </w:rPr>
        <w:t>e encuentra a continuación:</w:t>
      </w:r>
    </w:p>
    <w:p w14:paraId="7B388ED6" w14:textId="1AF56B7E" w:rsidR="00A84E0E" w:rsidRPr="00232EBB" w:rsidRDefault="00A84E0E" w:rsidP="00A84E0E">
      <w:pPr>
        <w:spacing w:after="0" w:line="360" w:lineRule="auto"/>
        <w:ind w:right="-180"/>
        <w:jc w:val="both"/>
        <w:rPr>
          <w:rFonts w:eastAsia="Calibri"/>
          <w:noProof/>
          <w:color w:val="808080" w:themeColor="background1" w:themeShade="80"/>
          <w:sz w:val="10"/>
          <w:szCs w:val="10"/>
          <w:lang w:val="es-MX"/>
        </w:rPr>
      </w:pPr>
    </w:p>
    <w:p w14:paraId="213023D5" w14:textId="76F37E6E" w:rsidR="00A02E84" w:rsidRPr="00232EBB" w:rsidRDefault="00A02E84" w:rsidP="00A02E84">
      <w:pPr>
        <w:spacing w:after="0" w:line="360" w:lineRule="auto"/>
        <w:ind w:right="-180"/>
        <w:jc w:val="both"/>
        <w:rPr>
          <w:rFonts w:eastAsia="Calibri"/>
          <w:noProof/>
          <w:color w:val="808080" w:themeColor="background1" w:themeShade="80"/>
          <w:sz w:val="18"/>
          <w:szCs w:val="18"/>
          <w:lang w:val="es-ES"/>
        </w:rPr>
      </w:pPr>
      <w:r w:rsidRPr="00232EBB">
        <w:rPr>
          <w:rFonts w:eastAsia="Calibri"/>
          <w:b/>
          <w:bCs/>
          <w:noProof/>
          <w:color w:val="808080" w:themeColor="background1" w:themeShade="80"/>
          <w:sz w:val="18"/>
          <w:szCs w:val="18"/>
          <w:lang w:val="es-ES"/>
        </w:rPr>
        <w:t xml:space="preserve">Gráfico </w:t>
      </w:r>
      <w:r w:rsidR="000743EE" w:rsidRPr="00232EBB">
        <w:rPr>
          <w:rFonts w:eastAsia="Calibri"/>
          <w:b/>
          <w:bCs/>
          <w:noProof/>
          <w:color w:val="808080" w:themeColor="background1" w:themeShade="80"/>
          <w:sz w:val="18"/>
          <w:szCs w:val="18"/>
          <w:lang w:val="es-ES"/>
        </w:rPr>
        <w:t>8</w:t>
      </w:r>
      <w:r w:rsidRPr="00232EBB">
        <w:rPr>
          <w:rFonts w:eastAsia="Calibri"/>
          <w:b/>
          <w:bCs/>
          <w:noProof/>
          <w:color w:val="808080" w:themeColor="background1" w:themeShade="80"/>
          <w:sz w:val="18"/>
          <w:szCs w:val="18"/>
          <w:lang w:val="es-ES"/>
        </w:rPr>
        <w:t>:</w:t>
      </w:r>
      <w:r w:rsidRPr="00232EBB">
        <w:rPr>
          <w:rFonts w:eastAsia="Calibri"/>
          <w:noProof/>
          <w:color w:val="808080" w:themeColor="background1" w:themeShade="80"/>
          <w:sz w:val="18"/>
          <w:szCs w:val="18"/>
          <w:lang w:val="es-ES"/>
        </w:rPr>
        <w:t xml:space="preserve"> </w:t>
      </w:r>
      <w:r w:rsidR="001E21CC" w:rsidRPr="00232EBB">
        <w:rPr>
          <w:rFonts w:eastAsia="Calibri"/>
          <w:noProof/>
          <w:color w:val="808080" w:themeColor="background1" w:themeShade="80"/>
          <w:sz w:val="18"/>
          <w:szCs w:val="18"/>
          <w:lang w:val="es-ES"/>
        </w:rPr>
        <w:t xml:space="preserve">Compras por modalidad al </w:t>
      </w:r>
      <w:r w:rsidR="00E14CB6" w:rsidRPr="00232EBB">
        <w:rPr>
          <w:rFonts w:eastAsia="Calibri"/>
          <w:noProof/>
          <w:color w:val="808080" w:themeColor="background1" w:themeShade="80"/>
          <w:sz w:val="18"/>
          <w:szCs w:val="18"/>
          <w:lang w:val="es-ES"/>
        </w:rPr>
        <w:t>cierre del</w:t>
      </w:r>
      <w:r w:rsidR="001E21CC" w:rsidRPr="00232EBB">
        <w:rPr>
          <w:rFonts w:eastAsia="Calibri"/>
          <w:noProof/>
          <w:color w:val="808080" w:themeColor="background1" w:themeShade="80"/>
          <w:sz w:val="18"/>
          <w:szCs w:val="18"/>
          <w:lang w:val="es-ES"/>
        </w:rPr>
        <w:t xml:space="preserve"> 2025.</w:t>
      </w:r>
    </w:p>
    <w:p w14:paraId="0835EF5B" w14:textId="31735572" w:rsidR="001E21CC" w:rsidRPr="00232EBB" w:rsidRDefault="00DE02CF" w:rsidP="001E21CC">
      <w:pPr>
        <w:spacing w:before="240" w:line="360" w:lineRule="auto"/>
        <w:jc w:val="both"/>
        <w:rPr>
          <w:rFonts w:eastAsia="Calibri"/>
          <w:noProof/>
          <w:color w:val="808080" w:themeColor="background1" w:themeShade="80"/>
          <w:lang w:val="es-MX"/>
        </w:rPr>
      </w:pPr>
      <w:r>
        <w:rPr>
          <w:noProof/>
        </w:rPr>
        <w:lastRenderedPageBreak/>
        <w:drawing>
          <wp:anchor distT="0" distB="0" distL="114300" distR="114300" simplePos="0" relativeHeight="251716644" behindDoc="0" locked="0" layoutInCell="1" allowOverlap="1" wp14:anchorId="3DA90115" wp14:editId="7A6B1B68">
            <wp:simplePos x="0" y="0"/>
            <wp:positionH relativeFrom="margin">
              <wp:align>right</wp:align>
            </wp:positionH>
            <wp:positionV relativeFrom="margin">
              <wp:posOffset>733425</wp:posOffset>
            </wp:positionV>
            <wp:extent cx="4914900" cy="2924175"/>
            <wp:effectExtent l="0" t="0" r="0" b="0"/>
            <wp:wrapSquare wrapText="bothSides"/>
            <wp:docPr id="323727617" name="Chart 1">
              <a:extLst xmlns:a="http://schemas.openxmlformats.org/drawingml/2006/main">
                <a:ext uri="{FF2B5EF4-FFF2-40B4-BE49-F238E27FC236}">
                  <a16:creationId xmlns:a16="http://schemas.microsoft.com/office/drawing/2014/main" id="{0FBA63D4-63D7-3186-E0D9-E3939A6EB74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margin">
              <wp14:pctWidth>0</wp14:pctWidth>
            </wp14:sizeRelH>
            <wp14:sizeRelV relativeFrom="margin">
              <wp14:pctHeight>0</wp14:pctHeight>
            </wp14:sizeRelV>
          </wp:anchor>
        </w:drawing>
      </w:r>
      <w:r w:rsidR="001E21CC" w:rsidRPr="00232EBB">
        <w:rPr>
          <w:rFonts w:eastAsia="Calibri"/>
          <w:noProof/>
          <w:color w:val="808080" w:themeColor="background1" w:themeShade="80"/>
          <w:lang w:val="es-MX"/>
        </w:rPr>
        <w:t xml:space="preserve">El siguiente subindicador, Administración de Contratos, consta de 3 aspectos cada uno con una ponderación de 10 puntos: Contratos Actualizados, Planes de Entrega Cargados y Contratos Concluidos. </w:t>
      </w:r>
    </w:p>
    <w:p w14:paraId="7FB158C2" w14:textId="78BF412C" w:rsidR="00C87087" w:rsidRPr="00232EBB" w:rsidRDefault="00C87087" w:rsidP="001E21CC">
      <w:pPr>
        <w:rPr>
          <w:rFonts w:eastAsia="Calibri"/>
          <w:lang w:val="es-DO"/>
        </w:rPr>
      </w:pPr>
    </w:p>
    <w:p w14:paraId="5BF61EF1" w14:textId="2C25D94F" w:rsidR="00A02E84" w:rsidRPr="00232EBB" w:rsidRDefault="00A02E84" w:rsidP="001C044F">
      <w:pPr>
        <w:spacing w:before="240" w:after="0" w:line="360" w:lineRule="auto"/>
        <w:jc w:val="both"/>
        <w:rPr>
          <w:rFonts w:eastAsia="Calibri"/>
          <w:b/>
          <w:bCs/>
          <w:noProof/>
          <w:color w:val="808080" w:themeColor="background1" w:themeShade="80"/>
          <w:lang w:val="es-ES"/>
        </w:rPr>
      </w:pPr>
      <w:r w:rsidRPr="00232EBB">
        <w:rPr>
          <w:rFonts w:eastAsia="Calibri"/>
          <w:b/>
          <w:bCs/>
          <w:noProof/>
          <w:color w:val="808080" w:themeColor="background1" w:themeShade="80"/>
          <w:sz w:val="18"/>
          <w:szCs w:val="18"/>
          <w:lang w:val="es-ES"/>
        </w:rPr>
        <w:t xml:space="preserve">Gráfico </w:t>
      </w:r>
      <w:r w:rsidR="000743EE" w:rsidRPr="00232EBB">
        <w:rPr>
          <w:rFonts w:eastAsia="Calibri"/>
          <w:b/>
          <w:bCs/>
          <w:noProof/>
          <w:color w:val="808080" w:themeColor="background1" w:themeShade="80"/>
          <w:sz w:val="18"/>
          <w:szCs w:val="18"/>
          <w:lang w:val="es-ES"/>
        </w:rPr>
        <w:t>9</w:t>
      </w:r>
      <w:r w:rsidRPr="00232EBB">
        <w:rPr>
          <w:rFonts w:eastAsia="Calibri"/>
          <w:b/>
          <w:bCs/>
          <w:noProof/>
          <w:color w:val="808080" w:themeColor="background1" w:themeShade="80"/>
          <w:sz w:val="18"/>
          <w:szCs w:val="18"/>
          <w:lang w:val="es-ES"/>
        </w:rPr>
        <w:t>:</w:t>
      </w:r>
      <w:r w:rsidRPr="00232EBB">
        <w:rPr>
          <w:rFonts w:eastAsia="Calibri"/>
          <w:noProof/>
          <w:color w:val="808080" w:themeColor="background1" w:themeShade="80"/>
          <w:sz w:val="18"/>
          <w:szCs w:val="18"/>
          <w:lang w:val="es-ES"/>
        </w:rPr>
        <w:t xml:space="preserve"> Gestión de administración de contratos Dirección Administrativa </w:t>
      </w:r>
      <w:r w:rsidR="00EE0F4F" w:rsidRPr="00232EBB">
        <w:rPr>
          <w:rFonts w:eastAsia="Calibri"/>
          <w:noProof/>
          <w:color w:val="808080" w:themeColor="background1" w:themeShade="80"/>
          <w:sz w:val="18"/>
          <w:szCs w:val="18"/>
          <w:lang w:val="es-ES"/>
        </w:rPr>
        <w:t xml:space="preserve">al </w:t>
      </w:r>
      <w:r w:rsidR="00E14CB6" w:rsidRPr="00232EBB">
        <w:rPr>
          <w:rFonts w:eastAsia="Calibri"/>
          <w:noProof/>
          <w:color w:val="808080" w:themeColor="background1" w:themeShade="80"/>
          <w:sz w:val="18"/>
          <w:szCs w:val="18"/>
          <w:lang w:val="es-ES"/>
        </w:rPr>
        <w:t>cierre del</w:t>
      </w:r>
      <w:r w:rsidRPr="00232EBB">
        <w:rPr>
          <w:rFonts w:eastAsia="Calibri"/>
          <w:noProof/>
          <w:color w:val="808080" w:themeColor="background1" w:themeShade="80"/>
          <w:sz w:val="18"/>
          <w:szCs w:val="18"/>
          <w:lang w:val="es-ES"/>
        </w:rPr>
        <w:t xml:space="preserve"> 202</w:t>
      </w:r>
      <w:r w:rsidR="001E21CC" w:rsidRPr="00232EBB">
        <w:rPr>
          <w:rFonts w:eastAsia="Calibri"/>
          <w:noProof/>
          <w:color w:val="808080" w:themeColor="background1" w:themeShade="80"/>
          <w:sz w:val="18"/>
          <w:szCs w:val="18"/>
          <w:lang w:val="es-ES"/>
        </w:rPr>
        <w:t>5</w:t>
      </w:r>
      <w:r w:rsidRPr="00232EBB">
        <w:rPr>
          <w:rFonts w:eastAsia="Calibri"/>
          <w:noProof/>
          <w:color w:val="808080" w:themeColor="background1" w:themeShade="80"/>
          <w:sz w:val="18"/>
          <w:szCs w:val="18"/>
          <w:lang w:val="es-ES"/>
        </w:rPr>
        <w:t>.</w:t>
      </w:r>
    </w:p>
    <w:p w14:paraId="29B0D7A8" w14:textId="21A1BCFA" w:rsidR="001E21CC" w:rsidRDefault="00DE02CF" w:rsidP="001E21CC">
      <w:pPr>
        <w:spacing w:before="240" w:line="360" w:lineRule="auto"/>
        <w:jc w:val="both"/>
        <w:rPr>
          <w:rFonts w:eastAsia="Calibri"/>
          <w:noProof/>
          <w:color w:val="808080" w:themeColor="background1" w:themeShade="80"/>
          <w:lang w:val="es-MX"/>
        </w:rPr>
      </w:pPr>
      <w:r>
        <w:rPr>
          <w:noProof/>
        </w:rPr>
        <w:drawing>
          <wp:anchor distT="0" distB="0" distL="114300" distR="114300" simplePos="0" relativeHeight="251719716" behindDoc="0" locked="0" layoutInCell="1" allowOverlap="1" wp14:anchorId="54A39459" wp14:editId="43F52A83">
            <wp:simplePos x="0" y="0"/>
            <wp:positionH relativeFrom="margin">
              <wp:posOffset>-635</wp:posOffset>
            </wp:positionH>
            <wp:positionV relativeFrom="margin">
              <wp:posOffset>5314950</wp:posOffset>
            </wp:positionV>
            <wp:extent cx="5000625" cy="2800350"/>
            <wp:effectExtent l="0" t="0" r="0" b="0"/>
            <wp:wrapSquare wrapText="bothSides"/>
            <wp:docPr id="1970210994" name="Chart 1">
              <a:extLst xmlns:a="http://schemas.openxmlformats.org/drawingml/2006/main">
                <a:ext uri="{FF2B5EF4-FFF2-40B4-BE49-F238E27FC236}">
                  <a16:creationId xmlns:a16="http://schemas.microsoft.com/office/drawing/2014/main" id="{E72BFC42-C896-867B-BB95-BB0BE6D55F7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margin">
              <wp14:pctWidth>0</wp14:pctWidth>
            </wp14:sizeRelH>
            <wp14:sizeRelV relativeFrom="margin">
              <wp14:pctHeight>0</wp14:pctHeight>
            </wp14:sizeRelV>
          </wp:anchor>
        </w:drawing>
      </w:r>
      <w:r w:rsidR="001E21CC" w:rsidRPr="00232EBB">
        <w:rPr>
          <w:rFonts w:eastAsia="Calibri"/>
          <w:noProof/>
          <w:color w:val="808080" w:themeColor="background1" w:themeShade="80"/>
          <w:lang w:val="es-MX"/>
        </w:rPr>
        <w:t>Por último, y para cumplir con las ponderaciones de procesos dirigidos a Compras a Mipymes y Mipymes Mujeres, con un total de 20 puntos, la Tesorería de la Seguridad Social.</w:t>
      </w:r>
    </w:p>
    <w:p w14:paraId="31309CA1" w14:textId="3279CB9D" w:rsidR="0073369E" w:rsidRPr="00232EBB" w:rsidRDefault="0073369E" w:rsidP="00953914">
      <w:pPr>
        <w:spacing w:after="0" w:line="360" w:lineRule="auto"/>
        <w:ind w:right="26"/>
        <w:jc w:val="both"/>
        <w:rPr>
          <w:rFonts w:eastAsia="Calibri"/>
          <w:noProof/>
          <w:color w:val="808080" w:themeColor="background1" w:themeShade="80"/>
          <w:sz w:val="18"/>
          <w:szCs w:val="18"/>
          <w:lang w:val="es-ES"/>
        </w:rPr>
      </w:pPr>
      <w:r w:rsidRPr="00232EBB">
        <w:rPr>
          <w:rFonts w:eastAsia="Calibri"/>
          <w:b/>
          <w:bCs/>
          <w:noProof/>
          <w:color w:val="808080" w:themeColor="background1" w:themeShade="80"/>
          <w:sz w:val="18"/>
          <w:szCs w:val="18"/>
          <w:lang w:val="es-ES"/>
        </w:rPr>
        <w:t xml:space="preserve">Gráfico </w:t>
      </w:r>
      <w:r w:rsidR="00DE5E63" w:rsidRPr="00232EBB">
        <w:rPr>
          <w:rFonts w:eastAsia="Calibri"/>
          <w:b/>
          <w:bCs/>
          <w:noProof/>
          <w:color w:val="808080" w:themeColor="background1" w:themeShade="80"/>
          <w:sz w:val="18"/>
          <w:szCs w:val="18"/>
          <w:lang w:val="es-ES"/>
        </w:rPr>
        <w:t>1</w:t>
      </w:r>
      <w:r w:rsidR="000743EE" w:rsidRPr="00232EBB">
        <w:rPr>
          <w:rFonts w:eastAsia="Calibri"/>
          <w:b/>
          <w:bCs/>
          <w:noProof/>
          <w:color w:val="808080" w:themeColor="background1" w:themeShade="80"/>
          <w:sz w:val="18"/>
          <w:szCs w:val="18"/>
          <w:lang w:val="es-ES"/>
        </w:rPr>
        <w:t>0</w:t>
      </w:r>
      <w:r w:rsidRPr="00232EBB">
        <w:rPr>
          <w:rFonts w:eastAsia="Calibri"/>
          <w:b/>
          <w:bCs/>
          <w:noProof/>
          <w:color w:val="808080" w:themeColor="background1" w:themeShade="80"/>
          <w:sz w:val="18"/>
          <w:szCs w:val="18"/>
          <w:lang w:val="es-ES"/>
        </w:rPr>
        <w:t>:</w:t>
      </w:r>
      <w:r w:rsidRPr="00232EBB">
        <w:rPr>
          <w:rFonts w:eastAsia="Calibri"/>
          <w:noProof/>
          <w:color w:val="808080" w:themeColor="background1" w:themeShade="80"/>
          <w:sz w:val="18"/>
          <w:szCs w:val="18"/>
          <w:lang w:val="es-ES"/>
        </w:rPr>
        <w:t xml:space="preserve"> Compras a Mipymes al </w:t>
      </w:r>
      <w:r w:rsidR="00E14CB6" w:rsidRPr="00232EBB">
        <w:rPr>
          <w:rFonts w:eastAsia="Calibri"/>
          <w:noProof/>
          <w:color w:val="808080" w:themeColor="background1" w:themeShade="80"/>
          <w:sz w:val="18"/>
          <w:szCs w:val="18"/>
          <w:lang w:val="es-ES"/>
        </w:rPr>
        <w:t>cierre del</w:t>
      </w:r>
      <w:r w:rsidRPr="00232EBB">
        <w:rPr>
          <w:rFonts w:eastAsia="Calibri"/>
          <w:noProof/>
          <w:color w:val="808080" w:themeColor="background1" w:themeShade="80"/>
          <w:sz w:val="18"/>
          <w:szCs w:val="18"/>
          <w:lang w:val="es-ES"/>
        </w:rPr>
        <w:t xml:space="preserve"> 2025</w:t>
      </w:r>
    </w:p>
    <w:p w14:paraId="12C2048E" w14:textId="0466B4E1" w:rsidR="004668C8" w:rsidRPr="00232EBB" w:rsidRDefault="004668C8" w:rsidP="004668C8">
      <w:pPr>
        <w:spacing w:before="240" w:line="360" w:lineRule="auto"/>
        <w:jc w:val="both"/>
        <w:rPr>
          <w:color w:val="7F7F7F" w:themeColor="text1" w:themeTint="80"/>
          <w:sz w:val="22"/>
          <w:szCs w:val="22"/>
          <w:lang w:val="es-MX"/>
        </w:rPr>
      </w:pPr>
      <w:r w:rsidRPr="00232EBB">
        <w:rPr>
          <w:color w:val="7F7F7F" w:themeColor="text1" w:themeTint="80"/>
          <w:lang w:val="es-MX"/>
        </w:rPr>
        <w:lastRenderedPageBreak/>
        <w:t>El 5</w:t>
      </w:r>
      <w:r w:rsidR="0081448C">
        <w:rPr>
          <w:color w:val="7F7F7F" w:themeColor="text1" w:themeTint="80"/>
          <w:lang w:val="es-MX"/>
        </w:rPr>
        <w:t>4</w:t>
      </w:r>
      <w:r w:rsidRPr="00232EBB">
        <w:rPr>
          <w:color w:val="7F7F7F" w:themeColor="text1" w:themeTint="80"/>
          <w:lang w:val="es-MX"/>
        </w:rPr>
        <w:t xml:space="preserve">% de estos procesos fueron adjudicados a </w:t>
      </w:r>
      <w:r w:rsidR="00247D12" w:rsidRPr="00232EBB">
        <w:rPr>
          <w:color w:val="7F7F7F" w:themeColor="text1" w:themeTint="80"/>
          <w:lang w:val="es-MX"/>
        </w:rPr>
        <w:t>MiPymes</w:t>
      </w:r>
      <w:r w:rsidRPr="00232EBB">
        <w:rPr>
          <w:color w:val="7F7F7F" w:themeColor="text1" w:themeTint="80"/>
          <w:lang w:val="es-MX"/>
        </w:rPr>
        <w:t xml:space="preserve"> y </w:t>
      </w:r>
      <w:r w:rsidR="00247D12" w:rsidRPr="00232EBB">
        <w:rPr>
          <w:color w:val="7F7F7F" w:themeColor="text1" w:themeTint="80"/>
          <w:lang w:val="es-DO"/>
        </w:rPr>
        <w:t>MiPymes</w:t>
      </w:r>
      <w:r w:rsidRPr="00232EBB">
        <w:rPr>
          <w:color w:val="7F7F7F" w:themeColor="text1" w:themeTint="80"/>
          <w:lang w:val="es-MX"/>
        </w:rPr>
        <w:t xml:space="preserve"> Mujer, mientras que el 4</w:t>
      </w:r>
      <w:r w:rsidR="0081448C">
        <w:rPr>
          <w:color w:val="7F7F7F" w:themeColor="text1" w:themeTint="80"/>
          <w:lang w:val="es-MX"/>
        </w:rPr>
        <w:t>6</w:t>
      </w:r>
      <w:r w:rsidRPr="00232EBB">
        <w:rPr>
          <w:color w:val="7F7F7F" w:themeColor="text1" w:themeTint="80"/>
          <w:lang w:val="es-MX"/>
        </w:rPr>
        <w:t>% fue adjudicado a las grandes empresas</w:t>
      </w:r>
      <w:r w:rsidRPr="00232EBB">
        <w:rPr>
          <w:color w:val="7F7F7F" w:themeColor="text1" w:themeTint="80"/>
          <w:sz w:val="22"/>
          <w:szCs w:val="22"/>
          <w:lang w:val="es-MX"/>
        </w:rPr>
        <w:t>.</w:t>
      </w:r>
    </w:p>
    <w:tbl>
      <w:tblPr>
        <w:tblW w:w="5593" w:type="dxa"/>
        <w:jc w:val="center"/>
        <w:tblCellMar>
          <w:left w:w="70" w:type="dxa"/>
          <w:right w:w="70" w:type="dxa"/>
        </w:tblCellMar>
        <w:tblLook w:val="04A0" w:firstRow="1" w:lastRow="0" w:firstColumn="1" w:lastColumn="0" w:noHBand="0" w:noVBand="1"/>
      </w:tblPr>
      <w:tblGrid>
        <w:gridCol w:w="2704"/>
        <w:gridCol w:w="2889"/>
      </w:tblGrid>
      <w:tr w:rsidR="004668C8" w:rsidRPr="00232EBB" w14:paraId="42448B99" w14:textId="77777777" w:rsidTr="00953914">
        <w:trPr>
          <w:trHeight w:val="397"/>
          <w:jc w:val="center"/>
        </w:trPr>
        <w:tc>
          <w:tcPr>
            <w:tcW w:w="2704" w:type="dxa"/>
            <w:tcBorders>
              <w:top w:val="single" w:sz="4" w:space="0" w:color="auto"/>
              <w:left w:val="single" w:sz="4" w:space="0" w:color="auto"/>
              <w:bottom w:val="single" w:sz="4" w:space="0" w:color="auto"/>
              <w:right w:val="single" w:sz="4" w:space="0" w:color="auto"/>
            </w:tcBorders>
            <w:shd w:val="clear" w:color="auto" w:fill="2F5496" w:themeFill="accent1" w:themeFillShade="BF"/>
            <w:noWrap/>
            <w:vAlign w:val="center"/>
            <w:hideMark/>
          </w:tcPr>
          <w:p w14:paraId="090BEA9A" w14:textId="77777777" w:rsidR="004668C8" w:rsidRPr="00232EBB" w:rsidRDefault="004668C8" w:rsidP="0055368C">
            <w:pPr>
              <w:spacing w:after="0" w:line="240" w:lineRule="auto"/>
              <w:jc w:val="center"/>
              <w:rPr>
                <w:b/>
                <w:bCs/>
                <w:color w:val="FFFFFF" w:themeColor="background1"/>
                <w:lang w:val="es-MX"/>
              </w:rPr>
            </w:pPr>
            <w:r w:rsidRPr="00232EBB">
              <w:rPr>
                <w:b/>
                <w:bCs/>
                <w:color w:val="FFFFFF" w:themeColor="background1"/>
                <w:lang w:val="es-MX"/>
              </w:rPr>
              <w:t>Clasificación Empresarial</w:t>
            </w:r>
          </w:p>
        </w:tc>
        <w:tc>
          <w:tcPr>
            <w:tcW w:w="2889" w:type="dxa"/>
            <w:tcBorders>
              <w:top w:val="single" w:sz="4" w:space="0" w:color="auto"/>
              <w:left w:val="nil"/>
              <w:bottom w:val="single" w:sz="4" w:space="0" w:color="auto"/>
              <w:right w:val="single" w:sz="4" w:space="0" w:color="auto"/>
            </w:tcBorders>
            <w:shd w:val="clear" w:color="auto" w:fill="2F5496" w:themeFill="accent1" w:themeFillShade="BF"/>
            <w:noWrap/>
            <w:vAlign w:val="center"/>
            <w:hideMark/>
          </w:tcPr>
          <w:p w14:paraId="2933C620" w14:textId="77777777" w:rsidR="004668C8" w:rsidRPr="00232EBB" w:rsidRDefault="004668C8" w:rsidP="0055368C">
            <w:pPr>
              <w:spacing w:after="0" w:line="240" w:lineRule="auto"/>
              <w:jc w:val="center"/>
              <w:rPr>
                <w:b/>
                <w:bCs/>
                <w:color w:val="FFFFFF" w:themeColor="background1"/>
                <w:lang w:val="es-MX"/>
              </w:rPr>
            </w:pPr>
            <w:r w:rsidRPr="00232EBB">
              <w:rPr>
                <w:b/>
                <w:bCs/>
                <w:color w:val="FFFFFF" w:themeColor="background1"/>
                <w:lang w:val="es-MX"/>
              </w:rPr>
              <w:t>Total</w:t>
            </w:r>
          </w:p>
        </w:tc>
      </w:tr>
      <w:tr w:rsidR="004668C8" w:rsidRPr="00232EBB" w14:paraId="79812FA1" w14:textId="77777777" w:rsidTr="00953914">
        <w:trPr>
          <w:trHeight w:val="363"/>
          <w:jc w:val="center"/>
        </w:trPr>
        <w:tc>
          <w:tcPr>
            <w:tcW w:w="2704" w:type="dxa"/>
            <w:tcBorders>
              <w:top w:val="nil"/>
              <w:left w:val="single" w:sz="4" w:space="0" w:color="auto"/>
              <w:bottom w:val="single" w:sz="4" w:space="0" w:color="auto"/>
              <w:right w:val="single" w:sz="4" w:space="0" w:color="auto"/>
            </w:tcBorders>
            <w:noWrap/>
            <w:vAlign w:val="center"/>
            <w:hideMark/>
          </w:tcPr>
          <w:p w14:paraId="5AAC3B7B" w14:textId="77777777" w:rsidR="004668C8" w:rsidRPr="00232EBB" w:rsidRDefault="004668C8" w:rsidP="0055368C">
            <w:pPr>
              <w:spacing w:after="0" w:line="240" w:lineRule="auto"/>
              <w:jc w:val="center"/>
              <w:rPr>
                <w:color w:val="7F7F7F" w:themeColor="text1" w:themeTint="80"/>
                <w:lang w:val="es-MX"/>
              </w:rPr>
            </w:pPr>
            <w:r w:rsidRPr="00232EBB">
              <w:rPr>
                <w:color w:val="7F7F7F" w:themeColor="text1" w:themeTint="80"/>
                <w:lang w:val="es-MX"/>
              </w:rPr>
              <w:t>Grande</w:t>
            </w:r>
          </w:p>
        </w:tc>
        <w:tc>
          <w:tcPr>
            <w:tcW w:w="2889" w:type="dxa"/>
            <w:tcBorders>
              <w:top w:val="nil"/>
              <w:left w:val="nil"/>
              <w:bottom w:val="single" w:sz="4" w:space="0" w:color="auto"/>
              <w:right w:val="single" w:sz="4" w:space="0" w:color="auto"/>
            </w:tcBorders>
            <w:noWrap/>
            <w:vAlign w:val="center"/>
            <w:hideMark/>
          </w:tcPr>
          <w:p w14:paraId="1C72C1CA" w14:textId="1E9CF03D" w:rsidR="004668C8" w:rsidRPr="00232EBB" w:rsidRDefault="0081448C" w:rsidP="0055368C">
            <w:pPr>
              <w:spacing w:after="0" w:line="240" w:lineRule="auto"/>
              <w:jc w:val="center"/>
              <w:rPr>
                <w:color w:val="7F7F7F" w:themeColor="text1" w:themeTint="80"/>
                <w:lang w:val="es-MX"/>
              </w:rPr>
            </w:pPr>
            <w:r>
              <w:rPr>
                <w:color w:val="7F7F7F" w:themeColor="text1" w:themeTint="80"/>
                <w:lang w:val="es-MX"/>
              </w:rPr>
              <w:t>118,001,390.00</w:t>
            </w:r>
          </w:p>
        </w:tc>
      </w:tr>
      <w:tr w:rsidR="004668C8" w:rsidRPr="00232EBB" w14:paraId="51AC0E77" w14:textId="77777777" w:rsidTr="00953914">
        <w:trPr>
          <w:trHeight w:val="363"/>
          <w:jc w:val="center"/>
        </w:trPr>
        <w:tc>
          <w:tcPr>
            <w:tcW w:w="2704" w:type="dxa"/>
            <w:tcBorders>
              <w:top w:val="nil"/>
              <w:left w:val="single" w:sz="4" w:space="0" w:color="auto"/>
              <w:bottom w:val="single" w:sz="4" w:space="0" w:color="auto"/>
              <w:right w:val="single" w:sz="4" w:space="0" w:color="auto"/>
            </w:tcBorders>
            <w:noWrap/>
            <w:vAlign w:val="center"/>
            <w:hideMark/>
          </w:tcPr>
          <w:p w14:paraId="6C0D3E1A" w14:textId="77777777" w:rsidR="004668C8" w:rsidRPr="00232EBB" w:rsidRDefault="004668C8" w:rsidP="0055368C">
            <w:pPr>
              <w:spacing w:after="0" w:line="240" w:lineRule="auto"/>
              <w:jc w:val="center"/>
              <w:rPr>
                <w:color w:val="7F7F7F" w:themeColor="text1" w:themeTint="80"/>
                <w:lang w:val="es-MX"/>
              </w:rPr>
            </w:pPr>
            <w:r w:rsidRPr="00232EBB">
              <w:rPr>
                <w:color w:val="7F7F7F" w:themeColor="text1" w:themeTint="80"/>
                <w:lang w:val="es-MX"/>
              </w:rPr>
              <w:t>MIPYME</w:t>
            </w:r>
          </w:p>
        </w:tc>
        <w:tc>
          <w:tcPr>
            <w:tcW w:w="2889" w:type="dxa"/>
            <w:tcBorders>
              <w:top w:val="nil"/>
              <w:left w:val="nil"/>
              <w:bottom w:val="single" w:sz="4" w:space="0" w:color="auto"/>
              <w:right w:val="single" w:sz="4" w:space="0" w:color="auto"/>
            </w:tcBorders>
            <w:noWrap/>
            <w:vAlign w:val="center"/>
            <w:hideMark/>
          </w:tcPr>
          <w:p w14:paraId="53146D25" w14:textId="69756DF4" w:rsidR="004668C8" w:rsidRPr="00232EBB" w:rsidRDefault="0081448C" w:rsidP="0055368C">
            <w:pPr>
              <w:spacing w:after="0" w:line="240" w:lineRule="auto"/>
              <w:jc w:val="center"/>
              <w:rPr>
                <w:color w:val="7F7F7F" w:themeColor="text1" w:themeTint="80"/>
                <w:lang w:val="es-MX"/>
              </w:rPr>
            </w:pPr>
            <w:r>
              <w:rPr>
                <w:color w:val="7F7F7F" w:themeColor="text1" w:themeTint="80"/>
                <w:lang w:val="es-MX"/>
              </w:rPr>
              <w:t>118,238,055.00</w:t>
            </w:r>
          </w:p>
        </w:tc>
      </w:tr>
      <w:tr w:rsidR="004668C8" w:rsidRPr="00232EBB" w14:paraId="0AED1ECF" w14:textId="77777777" w:rsidTr="00953914">
        <w:trPr>
          <w:trHeight w:val="363"/>
          <w:jc w:val="center"/>
        </w:trPr>
        <w:tc>
          <w:tcPr>
            <w:tcW w:w="2704" w:type="dxa"/>
            <w:tcBorders>
              <w:top w:val="nil"/>
              <w:left w:val="single" w:sz="4" w:space="0" w:color="auto"/>
              <w:bottom w:val="single" w:sz="4" w:space="0" w:color="auto"/>
              <w:right w:val="single" w:sz="4" w:space="0" w:color="auto"/>
            </w:tcBorders>
            <w:noWrap/>
            <w:vAlign w:val="center"/>
            <w:hideMark/>
          </w:tcPr>
          <w:p w14:paraId="50B3C5E5" w14:textId="77777777" w:rsidR="004668C8" w:rsidRPr="00232EBB" w:rsidRDefault="004668C8" w:rsidP="0055368C">
            <w:pPr>
              <w:spacing w:after="0" w:line="240" w:lineRule="auto"/>
              <w:jc w:val="center"/>
              <w:rPr>
                <w:color w:val="7F7F7F" w:themeColor="text1" w:themeTint="80"/>
                <w:lang w:val="es-MX"/>
              </w:rPr>
            </w:pPr>
            <w:r w:rsidRPr="00232EBB">
              <w:rPr>
                <w:color w:val="7F7F7F" w:themeColor="text1" w:themeTint="80"/>
                <w:lang w:val="es-MX"/>
              </w:rPr>
              <w:t>MIPYME Mujer</w:t>
            </w:r>
          </w:p>
        </w:tc>
        <w:tc>
          <w:tcPr>
            <w:tcW w:w="2889" w:type="dxa"/>
            <w:tcBorders>
              <w:top w:val="nil"/>
              <w:left w:val="nil"/>
              <w:bottom w:val="single" w:sz="4" w:space="0" w:color="auto"/>
              <w:right w:val="single" w:sz="4" w:space="0" w:color="auto"/>
            </w:tcBorders>
            <w:noWrap/>
            <w:vAlign w:val="center"/>
            <w:hideMark/>
          </w:tcPr>
          <w:p w14:paraId="1BBBB3CA" w14:textId="20A87273" w:rsidR="004668C8" w:rsidRPr="00232EBB" w:rsidRDefault="0081448C" w:rsidP="0055368C">
            <w:pPr>
              <w:spacing w:after="0" w:line="240" w:lineRule="auto"/>
              <w:jc w:val="center"/>
              <w:rPr>
                <w:color w:val="7F7F7F" w:themeColor="text1" w:themeTint="80"/>
                <w:lang w:val="es-MX"/>
              </w:rPr>
            </w:pPr>
            <w:r>
              <w:rPr>
                <w:color w:val="7F7F7F" w:themeColor="text1" w:themeTint="80"/>
                <w:lang w:val="es-MX"/>
              </w:rPr>
              <w:t>19,835,653.00</w:t>
            </w:r>
          </w:p>
        </w:tc>
      </w:tr>
      <w:tr w:rsidR="004668C8" w:rsidRPr="00232EBB" w14:paraId="39237EA4" w14:textId="77777777" w:rsidTr="00953914">
        <w:trPr>
          <w:trHeight w:val="363"/>
          <w:jc w:val="center"/>
        </w:trPr>
        <w:tc>
          <w:tcPr>
            <w:tcW w:w="2704" w:type="dxa"/>
            <w:tcBorders>
              <w:top w:val="nil"/>
              <w:left w:val="single" w:sz="4" w:space="0" w:color="auto"/>
              <w:bottom w:val="single" w:sz="4" w:space="0" w:color="auto"/>
              <w:right w:val="single" w:sz="4" w:space="0" w:color="auto"/>
            </w:tcBorders>
            <w:noWrap/>
            <w:vAlign w:val="center"/>
            <w:hideMark/>
          </w:tcPr>
          <w:p w14:paraId="45C3972F" w14:textId="77777777" w:rsidR="004668C8" w:rsidRPr="00232EBB" w:rsidRDefault="004668C8" w:rsidP="0055368C">
            <w:pPr>
              <w:spacing w:after="0" w:line="240" w:lineRule="auto"/>
              <w:jc w:val="center"/>
              <w:rPr>
                <w:b/>
                <w:bCs/>
                <w:color w:val="7F7F7F" w:themeColor="text1" w:themeTint="80"/>
                <w:lang w:val="es-MX"/>
              </w:rPr>
            </w:pPr>
            <w:r w:rsidRPr="00232EBB">
              <w:rPr>
                <w:b/>
                <w:bCs/>
                <w:color w:val="7F7F7F" w:themeColor="text1" w:themeTint="80"/>
                <w:lang w:val="es-MX"/>
              </w:rPr>
              <w:t>TOTAL</w:t>
            </w:r>
          </w:p>
        </w:tc>
        <w:tc>
          <w:tcPr>
            <w:tcW w:w="2889" w:type="dxa"/>
            <w:tcBorders>
              <w:top w:val="nil"/>
              <w:left w:val="nil"/>
              <w:bottom w:val="single" w:sz="4" w:space="0" w:color="auto"/>
              <w:right w:val="single" w:sz="4" w:space="0" w:color="auto"/>
            </w:tcBorders>
            <w:noWrap/>
            <w:vAlign w:val="center"/>
            <w:hideMark/>
          </w:tcPr>
          <w:p w14:paraId="7B8BB173" w14:textId="3324A15D" w:rsidR="004668C8" w:rsidRPr="00232EBB" w:rsidRDefault="0081448C" w:rsidP="0055368C">
            <w:pPr>
              <w:spacing w:after="0" w:line="240" w:lineRule="auto"/>
              <w:jc w:val="center"/>
              <w:rPr>
                <w:b/>
                <w:bCs/>
                <w:color w:val="7F7F7F" w:themeColor="text1" w:themeTint="80"/>
                <w:lang w:val="es-MX"/>
              </w:rPr>
            </w:pPr>
            <w:r>
              <w:rPr>
                <w:b/>
                <w:bCs/>
                <w:color w:val="7F7F7F" w:themeColor="text1" w:themeTint="80"/>
                <w:lang w:val="es-MX"/>
              </w:rPr>
              <w:t>256,075,098.00</w:t>
            </w:r>
          </w:p>
        </w:tc>
      </w:tr>
    </w:tbl>
    <w:p w14:paraId="45084B15" w14:textId="1F83EC48" w:rsidR="00BB6F13" w:rsidRPr="00232EBB" w:rsidRDefault="00AD6BE3" w:rsidP="00BB6F13">
      <w:pPr>
        <w:spacing w:before="240" w:after="0" w:line="360" w:lineRule="auto"/>
        <w:ind w:right="26"/>
        <w:jc w:val="both"/>
        <w:rPr>
          <w:rFonts w:eastAsia="Calibri"/>
          <w:noProof/>
          <w:color w:val="808080" w:themeColor="background1" w:themeShade="80"/>
          <w:sz w:val="18"/>
          <w:szCs w:val="18"/>
          <w:lang w:val="es-ES"/>
        </w:rPr>
      </w:pPr>
      <w:r w:rsidRPr="00232EBB">
        <w:rPr>
          <w:rFonts w:eastAsia="Calibri"/>
          <w:b/>
          <w:bCs/>
          <w:noProof/>
          <w:color w:val="808080" w:themeColor="background1" w:themeShade="80"/>
          <w:sz w:val="18"/>
          <w:szCs w:val="18"/>
          <w:lang w:val="es-ES"/>
        </w:rPr>
        <w:t>Tabla</w:t>
      </w:r>
      <w:r w:rsidR="001C044F" w:rsidRPr="00232EBB">
        <w:rPr>
          <w:rFonts w:eastAsia="Calibri"/>
          <w:b/>
          <w:bCs/>
          <w:noProof/>
          <w:color w:val="808080" w:themeColor="background1" w:themeShade="80"/>
          <w:sz w:val="18"/>
          <w:szCs w:val="18"/>
          <w:lang w:val="es-ES"/>
        </w:rPr>
        <w:t xml:space="preserve"> </w:t>
      </w:r>
      <w:r w:rsidRPr="00232EBB">
        <w:rPr>
          <w:rFonts w:eastAsia="Calibri"/>
          <w:b/>
          <w:bCs/>
          <w:noProof/>
          <w:color w:val="808080" w:themeColor="background1" w:themeShade="80"/>
          <w:sz w:val="18"/>
          <w:szCs w:val="18"/>
          <w:lang w:val="es-ES"/>
        </w:rPr>
        <w:t>1</w:t>
      </w:r>
      <w:r w:rsidR="00E27BAB">
        <w:rPr>
          <w:rFonts w:eastAsia="Calibri"/>
          <w:b/>
          <w:bCs/>
          <w:noProof/>
          <w:color w:val="808080" w:themeColor="background1" w:themeShade="80"/>
          <w:sz w:val="18"/>
          <w:szCs w:val="18"/>
          <w:lang w:val="es-ES"/>
        </w:rPr>
        <w:t>6</w:t>
      </w:r>
      <w:r w:rsidRPr="00232EBB">
        <w:rPr>
          <w:rFonts w:eastAsia="Calibri"/>
          <w:b/>
          <w:bCs/>
          <w:noProof/>
          <w:color w:val="808080" w:themeColor="background1" w:themeShade="80"/>
          <w:sz w:val="18"/>
          <w:szCs w:val="18"/>
          <w:lang w:val="es-ES"/>
        </w:rPr>
        <w:t xml:space="preserve">: </w:t>
      </w:r>
      <w:r w:rsidRPr="00232EBB">
        <w:rPr>
          <w:rFonts w:eastAsia="Calibri"/>
          <w:noProof/>
          <w:color w:val="808080" w:themeColor="background1" w:themeShade="80"/>
          <w:sz w:val="18"/>
          <w:szCs w:val="18"/>
          <w:lang w:val="es-ES"/>
        </w:rPr>
        <w:t>Total de procesos publicados por tipo de empresa adjudicada por la Dirección Administrativa 202</w:t>
      </w:r>
      <w:r w:rsidR="004668C8" w:rsidRPr="00232EBB">
        <w:rPr>
          <w:rFonts w:eastAsia="Calibri"/>
          <w:noProof/>
          <w:color w:val="808080" w:themeColor="background1" w:themeShade="80"/>
          <w:sz w:val="18"/>
          <w:szCs w:val="18"/>
          <w:lang w:val="es-ES"/>
        </w:rPr>
        <w:t>5</w:t>
      </w:r>
      <w:r w:rsidRPr="00232EBB">
        <w:rPr>
          <w:rFonts w:eastAsia="Calibri"/>
          <w:noProof/>
          <w:color w:val="808080" w:themeColor="background1" w:themeShade="80"/>
          <w:sz w:val="18"/>
          <w:szCs w:val="18"/>
          <w:lang w:val="es-ES"/>
        </w:rPr>
        <w:t>.</w:t>
      </w:r>
    </w:p>
    <w:p w14:paraId="07C8CAF6" w14:textId="57199E49" w:rsidR="004668C8" w:rsidRPr="00232EBB" w:rsidRDefault="0081448C" w:rsidP="00BB6F13">
      <w:pPr>
        <w:spacing w:before="240" w:after="0" w:line="360" w:lineRule="auto"/>
        <w:ind w:right="26"/>
        <w:jc w:val="both"/>
        <w:rPr>
          <w:rFonts w:eastAsia="Calibri"/>
          <w:noProof/>
          <w:color w:val="808080" w:themeColor="background1" w:themeShade="80"/>
          <w:sz w:val="18"/>
          <w:szCs w:val="18"/>
          <w:lang w:val="es-ES"/>
        </w:rPr>
      </w:pPr>
      <w:r w:rsidRPr="0081448C">
        <w:rPr>
          <w:noProof/>
          <w:color w:val="AEAAAA" w:themeColor="background2" w:themeShade="BF"/>
        </w:rPr>
        <w:drawing>
          <wp:inline distT="0" distB="0" distL="0" distR="0" wp14:anchorId="0CDA42A5" wp14:editId="7BA9CBB8">
            <wp:extent cx="5572125" cy="2162175"/>
            <wp:effectExtent l="0" t="0" r="0" b="0"/>
            <wp:docPr id="621547372" name="Chart 1">
              <a:extLst xmlns:a="http://schemas.openxmlformats.org/drawingml/2006/main">
                <a:ext uri="{FF2B5EF4-FFF2-40B4-BE49-F238E27FC236}">
                  <a16:creationId xmlns:a16="http://schemas.microsoft.com/office/drawing/2014/main" id="{EC10DFD9-D3AF-B2B2-EA54-27CFF43954A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33A269D" w14:textId="300CB720" w:rsidR="00A02E84" w:rsidRPr="00232EBB" w:rsidRDefault="00A02E84" w:rsidP="002D008B">
      <w:pPr>
        <w:spacing w:after="0" w:line="360" w:lineRule="auto"/>
        <w:rPr>
          <w:rFonts w:eastAsia="Calibri"/>
          <w:noProof/>
          <w:color w:val="808080" w:themeColor="background1" w:themeShade="80"/>
          <w:sz w:val="18"/>
          <w:szCs w:val="18"/>
          <w:lang w:val="es-ES"/>
        </w:rPr>
      </w:pPr>
      <w:r w:rsidRPr="00232EBB">
        <w:rPr>
          <w:rFonts w:eastAsia="Calibri"/>
          <w:b/>
          <w:bCs/>
          <w:noProof/>
          <w:color w:val="808080" w:themeColor="background1" w:themeShade="80"/>
          <w:sz w:val="18"/>
          <w:szCs w:val="18"/>
          <w:lang w:val="es-ES"/>
        </w:rPr>
        <w:t xml:space="preserve">Gráfico </w:t>
      </w:r>
      <w:r w:rsidR="000743EE" w:rsidRPr="00232EBB">
        <w:rPr>
          <w:rFonts w:eastAsia="Calibri"/>
          <w:b/>
          <w:bCs/>
          <w:noProof/>
          <w:color w:val="808080" w:themeColor="background1" w:themeShade="80"/>
          <w:sz w:val="18"/>
          <w:szCs w:val="18"/>
          <w:lang w:val="es-ES"/>
        </w:rPr>
        <w:t>11</w:t>
      </w:r>
      <w:r w:rsidRPr="00232EBB">
        <w:rPr>
          <w:rFonts w:eastAsia="Calibri"/>
          <w:b/>
          <w:bCs/>
          <w:noProof/>
          <w:color w:val="808080" w:themeColor="background1" w:themeShade="80"/>
          <w:sz w:val="18"/>
          <w:szCs w:val="18"/>
          <w:lang w:val="es-ES"/>
        </w:rPr>
        <w:t>:</w:t>
      </w:r>
      <w:r w:rsidRPr="00232EBB">
        <w:rPr>
          <w:rFonts w:eastAsia="Calibri"/>
          <w:noProof/>
          <w:color w:val="808080" w:themeColor="background1" w:themeShade="80"/>
          <w:sz w:val="18"/>
          <w:szCs w:val="18"/>
          <w:lang w:val="es-ES"/>
        </w:rPr>
        <w:t xml:space="preserve"> </w:t>
      </w:r>
      <w:r w:rsidR="004668C8" w:rsidRPr="00232EBB">
        <w:rPr>
          <w:rFonts w:eastAsia="Calibri"/>
          <w:noProof/>
          <w:color w:val="808080" w:themeColor="background1" w:themeShade="80"/>
          <w:sz w:val="18"/>
          <w:szCs w:val="18"/>
          <w:lang w:val="es-ES"/>
        </w:rPr>
        <w:t>Compras por el tipo de empresa</w:t>
      </w:r>
      <w:r w:rsidR="00CC60F9" w:rsidRPr="00232EBB">
        <w:rPr>
          <w:rFonts w:eastAsia="Calibri"/>
          <w:noProof/>
          <w:color w:val="808080" w:themeColor="background1" w:themeShade="80"/>
          <w:sz w:val="18"/>
          <w:szCs w:val="18"/>
          <w:lang w:val="es-ES"/>
        </w:rPr>
        <w:t>.</w:t>
      </w:r>
    </w:p>
    <w:p w14:paraId="2ED6DF4E" w14:textId="38001E15" w:rsidR="004668C8" w:rsidRPr="00232EBB" w:rsidRDefault="004668C8" w:rsidP="004668C8">
      <w:pPr>
        <w:spacing w:before="240" w:line="360" w:lineRule="auto"/>
        <w:jc w:val="both"/>
        <w:rPr>
          <w:rFonts w:eastAsia="Calibri"/>
          <w:noProof/>
          <w:color w:val="7F7F7F" w:themeColor="text1" w:themeTint="80"/>
          <w:lang w:val="es-MX"/>
        </w:rPr>
      </w:pPr>
      <w:r w:rsidRPr="00232EBB">
        <w:rPr>
          <w:rFonts w:eastAsia="Calibri"/>
          <w:noProof/>
          <w:color w:val="808080" w:themeColor="background1" w:themeShade="80"/>
          <w:lang w:val="es-MX"/>
        </w:rPr>
        <w:t>Siguiendo el objetivo estratégico de orientar el desempeño de la institución hacia la sostenibilidad ambiental, hemos</w:t>
      </w:r>
      <w:r w:rsidRPr="00232EBB">
        <w:rPr>
          <w:rFonts w:eastAsia="Calibri"/>
          <w:noProof/>
          <w:color w:val="7F7F7F" w:themeColor="text1" w:themeTint="80"/>
          <w:lang w:val="es-MX"/>
        </w:rPr>
        <w:t xml:space="preserve"> publicado 27 procesos utilizando la metodología de compras sostenibles. </w:t>
      </w:r>
    </w:p>
    <w:tbl>
      <w:tblPr>
        <w:tblW w:w="7131" w:type="dxa"/>
        <w:tblInd w:w="445" w:type="dxa"/>
        <w:tblCellMar>
          <w:left w:w="70" w:type="dxa"/>
          <w:right w:w="70" w:type="dxa"/>
        </w:tblCellMar>
        <w:tblLook w:val="04A0" w:firstRow="1" w:lastRow="0" w:firstColumn="1" w:lastColumn="0" w:noHBand="0" w:noVBand="1"/>
      </w:tblPr>
      <w:tblGrid>
        <w:gridCol w:w="3150"/>
        <w:gridCol w:w="2220"/>
        <w:gridCol w:w="1761"/>
      </w:tblGrid>
      <w:tr w:rsidR="004668C8" w:rsidRPr="00232EBB" w14:paraId="5A8CF9B8" w14:textId="77777777" w:rsidTr="004668C8">
        <w:trPr>
          <w:trHeight w:val="800"/>
        </w:trPr>
        <w:tc>
          <w:tcPr>
            <w:tcW w:w="3150"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44188D5" w14:textId="77777777" w:rsidR="004668C8" w:rsidRPr="00232EBB" w:rsidRDefault="004668C8" w:rsidP="0055368C">
            <w:pPr>
              <w:spacing w:after="0" w:line="240" w:lineRule="auto"/>
              <w:jc w:val="center"/>
              <w:rPr>
                <w:rFonts w:eastAsia="Calibri"/>
                <w:noProof/>
                <w:color w:val="FFFFFF" w:themeColor="background1"/>
                <w:sz w:val="22"/>
                <w:szCs w:val="22"/>
                <w:lang w:val="es-MX"/>
              </w:rPr>
            </w:pPr>
            <w:r w:rsidRPr="00232EBB">
              <w:rPr>
                <w:rFonts w:eastAsia="Calibri"/>
                <w:noProof/>
                <w:color w:val="FFFFFF" w:themeColor="background1"/>
                <w:sz w:val="22"/>
                <w:szCs w:val="22"/>
                <w:lang w:val="es-MX"/>
              </w:rPr>
              <w:t>Modalidad</w:t>
            </w:r>
          </w:p>
        </w:tc>
        <w:tc>
          <w:tcPr>
            <w:tcW w:w="2220" w:type="dxa"/>
            <w:tcBorders>
              <w:top w:val="single" w:sz="4" w:space="0" w:color="auto"/>
              <w:left w:val="nil"/>
              <w:bottom w:val="single" w:sz="4" w:space="0" w:color="auto"/>
              <w:right w:val="single" w:sz="4" w:space="0" w:color="auto"/>
            </w:tcBorders>
            <w:shd w:val="clear" w:color="auto" w:fill="002060"/>
            <w:vAlign w:val="center"/>
            <w:hideMark/>
          </w:tcPr>
          <w:p w14:paraId="612B1085" w14:textId="77777777" w:rsidR="004668C8" w:rsidRPr="00232EBB" w:rsidRDefault="004668C8" w:rsidP="0055368C">
            <w:pPr>
              <w:spacing w:after="0" w:line="240" w:lineRule="auto"/>
              <w:jc w:val="center"/>
              <w:rPr>
                <w:rFonts w:eastAsia="Calibri"/>
                <w:noProof/>
                <w:color w:val="FFFFFF" w:themeColor="background1"/>
                <w:sz w:val="22"/>
                <w:szCs w:val="22"/>
                <w:lang w:val="es-MX"/>
              </w:rPr>
            </w:pPr>
            <w:r w:rsidRPr="00232EBB">
              <w:rPr>
                <w:rFonts w:eastAsia="Calibri"/>
                <w:noProof/>
                <w:color w:val="FFFFFF" w:themeColor="background1"/>
                <w:sz w:val="22"/>
                <w:szCs w:val="22"/>
                <w:lang w:val="es-MX"/>
              </w:rPr>
              <w:t>Cantidad de Procesos Adjudicados</w:t>
            </w:r>
          </w:p>
        </w:tc>
        <w:tc>
          <w:tcPr>
            <w:tcW w:w="1761" w:type="dxa"/>
            <w:tcBorders>
              <w:top w:val="single" w:sz="4" w:space="0" w:color="auto"/>
              <w:left w:val="nil"/>
              <w:bottom w:val="single" w:sz="4" w:space="0" w:color="auto"/>
              <w:right w:val="single" w:sz="4" w:space="0" w:color="auto"/>
            </w:tcBorders>
            <w:shd w:val="clear" w:color="auto" w:fill="002060"/>
            <w:vAlign w:val="center"/>
            <w:hideMark/>
          </w:tcPr>
          <w:p w14:paraId="4C25A08C" w14:textId="77777777" w:rsidR="004668C8" w:rsidRPr="00232EBB" w:rsidRDefault="004668C8" w:rsidP="0055368C">
            <w:pPr>
              <w:spacing w:after="0" w:line="240" w:lineRule="auto"/>
              <w:jc w:val="center"/>
              <w:rPr>
                <w:rFonts w:eastAsia="Calibri"/>
                <w:noProof/>
                <w:color w:val="FFFFFF" w:themeColor="background1"/>
                <w:sz w:val="22"/>
                <w:szCs w:val="22"/>
                <w:lang w:val="es-MX"/>
              </w:rPr>
            </w:pPr>
            <w:r w:rsidRPr="00232EBB">
              <w:rPr>
                <w:rFonts w:eastAsia="Calibri"/>
                <w:noProof/>
                <w:color w:val="FFFFFF" w:themeColor="background1"/>
                <w:sz w:val="22"/>
                <w:szCs w:val="22"/>
                <w:lang w:val="es-MX"/>
              </w:rPr>
              <w:t>Monto Total Adjudicado</w:t>
            </w:r>
          </w:p>
        </w:tc>
      </w:tr>
      <w:tr w:rsidR="004668C8" w:rsidRPr="00232EBB" w14:paraId="37D477A2" w14:textId="77777777" w:rsidTr="00604F8F">
        <w:trPr>
          <w:trHeight w:val="323"/>
        </w:trPr>
        <w:tc>
          <w:tcPr>
            <w:tcW w:w="3150" w:type="dxa"/>
            <w:tcBorders>
              <w:top w:val="nil"/>
              <w:left w:val="single" w:sz="4" w:space="0" w:color="auto"/>
              <w:bottom w:val="single" w:sz="4" w:space="0" w:color="auto"/>
              <w:right w:val="single" w:sz="4" w:space="0" w:color="auto"/>
            </w:tcBorders>
            <w:shd w:val="clear" w:color="000000" w:fill="FFFFFF"/>
            <w:noWrap/>
            <w:vAlign w:val="center"/>
            <w:hideMark/>
          </w:tcPr>
          <w:p w14:paraId="6D54E008" w14:textId="77777777" w:rsidR="004668C8" w:rsidRPr="00232EBB" w:rsidRDefault="004668C8" w:rsidP="0055368C">
            <w:pPr>
              <w:spacing w:after="0" w:line="240" w:lineRule="auto"/>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Compras Menores</w:t>
            </w:r>
          </w:p>
        </w:tc>
        <w:tc>
          <w:tcPr>
            <w:tcW w:w="2220" w:type="dxa"/>
            <w:tcBorders>
              <w:top w:val="nil"/>
              <w:left w:val="nil"/>
              <w:bottom w:val="single" w:sz="4" w:space="0" w:color="auto"/>
              <w:right w:val="single" w:sz="4" w:space="0" w:color="auto"/>
            </w:tcBorders>
            <w:noWrap/>
            <w:vAlign w:val="center"/>
            <w:hideMark/>
          </w:tcPr>
          <w:p w14:paraId="6C238B17" w14:textId="29C51538" w:rsidR="004668C8" w:rsidRPr="00232EBB" w:rsidRDefault="00E8731F" w:rsidP="00604F8F">
            <w:pPr>
              <w:spacing w:after="0" w:line="240" w:lineRule="auto"/>
              <w:jc w:val="center"/>
              <w:rPr>
                <w:rFonts w:eastAsia="Calibri"/>
                <w:noProof/>
                <w:color w:val="808080" w:themeColor="background1" w:themeShade="80"/>
                <w:sz w:val="22"/>
                <w:szCs w:val="22"/>
                <w:lang w:val="es-MX"/>
              </w:rPr>
            </w:pPr>
            <w:r>
              <w:rPr>
                <w:rFonts w:eastAsia="Calibri"/>
                <w:noProof/>
                <w:color w:val="808080" w:themeColor="background1" w:themeShade="80"/>
                <w:sz w:val="22"/>
                <w:szCs w:val="22"/>
                <w:lang w:val="es-MX"/>
              </w:rPr>
              <w:t>13</w:t>
            </w:r>
          </w:p>
        </w:tc>
        <w:tc>
          <w:tcPr>
            <w:tcW w:w="1761" w:type="dxa"/>
            <w:tcBorders>
              <w:top w:val="nil"/>
              <w:left w:val="nil"/>
              <w:bottom w:val="single" w:sz="4" w:space="0" w:color="auto"/>
              <w:right w:val="single" w:sz="4" w:space="0" w:color="auto"/>
            </w:tcBorders>
            <w:noWrap/>
            <w:vAlign w:val="center"/>
            <w:hideMark/>
          </w:tcPr>
          <w:p w14:paraId="2A9BD8AF" w14:textId="4F04D1E5" w:rsidR="004668C8" w:rsidRPr="00232EBB" w:rsidRDefault="00E8731F" w:rsidP="00604F8F">
            <w:pPr>
              <w:spacing w:after="0" w:line="240" w:lineRule="auto"/>
              <w:jc w:val="center"/>
              <w:rPr>
                <w:rFonts w:eastAsia="Calibri"/>
                <w:noProof/>
                <w:color w:val="808080" w:themeColor="background1" w:themeShade="80"/>
                <w:sz w:val="22"/>
                <w:szCs w:val="22"/>
                <w:lang w:val="es-MX"/>
              </w:rPr>
            </w:pPr>
            <w:r>
              <w:rPr>
                <w:rFonts w:eastAsia="Calibri"/>
                <w:noProof/>
                <w:color w:val="808080" w:themeColor="background1" w:themeShade="80"/>
                <w:sz w:val="22"/>
                <w:szCs w:val="22"/>
                <w:lang w:val="es-MX"/>
              </w:rPr>
              <w:t>5,586,858.43</w:t>
            </w:r>
          </w:p>
        </w:tc>
      </w:tr>
      <w:tr w:rsidR="004668C8" w:rsidRPr="00232EBB" w14:paraId="75568CC4" w14:textId="77777777" w:rsidTr="00604F8F">
        <w:trPr>
          <w:trHeight w:val="350"/>
        </w:trPr>
        <w:tc>
          <w:tcPr>
            <w:tcW w:w="3150" w:type="dxa"/>
            <w:tcBorders>
              <w:top w:val="nil"/>
              <w:left w:val="single" w:sz="4" w:space="0" w:color="auto"/>
              <w:bottom w:val="single" w:sz="4" w:space="0" w:color="auto"/>
              <w:right w:val="single" w:sz="4" w:space="0" w:color="auto"/>
            </w:tcBorders>
            <w:shd w:val="clear" w:color="000000" w:fill="FFFFFF"/>
            <w:noWrap/>
            <w:vAlign w:val="center"/>
            <w:hideMark/>
          </w:tcPr>
          <w:p w14:paraId="6CFE5552" w14:textId="77777777" w:rsidR="004668C8" w:rsidRPr="00232EBB" w:rsidRDefault="004668C8" w:rsidP="0055368C">
            <w:pPr>
              <w:spacing w:after="0" w:line="240" w:lineRule="auto"/>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Compras por Debajo del Umbral</w:t>
            </w:r>
          </w:p>
        </w:tc>
        <w:tc>
          <w:tcPr>
            <w:tcW w:w="2220" w:type="dxa"/>
            <w:tcBorders>
              <w:top w:val="nil"/>
              <w:left w:val="nil"/>
              <w:bottom w:val="single" w:sz="4" w:space="0" w:color="auto"/>
              <w:right w:val="single" w:sz="4" w:space="0" w:color="auto"/>
            </w:tcBorders>
            <w:noWrap/>
            <w:vAlign w:val="center"/>
            <w:hideMark/>
          </w:tcPr>
          <w:p w14:paraId="741C11F6" w14:textId="77777777" w:rsidR="004668C8" w:rsidRPr="00232EBB" w:rsidRDefault="004668C8" w:rsidP="00604F8F">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7</w:t>
            </w:r>
          </w:p>
        </w:tc>
        <w:tc>
          <w:tcPr>
            <w:tcW w:w="1761" w:type="dxa"/>
            <w:tcBorders>
              <w:top w:val="nil"/>
              <w:left w:val="nil"/>
              <w:bottom w:val="single" w:sz="4" w:space="0" w:color="auto"/>
              <w:right w:val="single" w:sz="4" w:space="0" w:color="auto"/>
            </w:tcBorders>
            <w:noWrap/>
            <w:vAlign w:val="center"/>
            <w:hideMark/>
          </w:tcPr>
          <w:p w14:paraId="73EA0F36" w14:textId="301604A8" w:rsidR="004668C8" w:rsidRPr="00232EBB" w:rsidRDefault="004668C8" w:rsidP="00604F8F">
            <w:pPr>
              <w:spacing w:after="0" w:line="240" w:lineRule="auto"/>
              <w:jc w:val="center"/>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825,795.52</w:t>
            </w:r>
          </w:p>
        </w:tc>
      </w:tr>
      <w:tr w:rsidR="004668C8" w:rsidRPr="00232EBB" w14:paraId="4EFEBBD4" w14:textId="77777777" w:rsidTr="00604F8F">
        <w:trPr>
          <w:trHeight w:val="350"/>
        </w:trPr>
        <w:tc>
          <w:tcPr>
            <w:tcW w:w="3150" w:type="dxa"/>
            <w:tcBorders>
              <w:top w:val="nil"/>
              <w:left w:val="single" w:sz="4" w:space="0" w:color="auto"/>
              <w:bottom w:val="single" w:sz="4" w:space="0" w:color="auto"/>
              <w:right w:val="single" w:sz="4" w:space="0" w:color="auto"/>
            </w:tcBorders>
            <w:shd w:val="clear" w:color="000000" w:fill="FFFFFF"/>
            <w:noWrap/>
            <w:vAlign w:val="center"/>
            <w:hideMark/>
          </w:tcPr>
          <w:p w14:paraId="146328AD" w14:textId="77777777" w:rsidR="004668C8" w:rsidRPr="00232EBB" w:rsidRDefault="004668C8" w:rsidP="0055368C">
            <w:pPr>
              <w:spacing w:after="0" w:line="240" w:lineRule="auto"/>
              <w:rPr>
                <w:rFonts w:eastAsia="Calibri"/>
                <w:noProof/>
                <w:color w:val="808080" w:themeColor="background1" w:themeShade="80"/>
                <w:sz w:val="22"/>
                <w:szCs w:val="22"/>
                <w:lang w:val="es-MX"/>
              </w:rPr>
            </w:pPr>
            <w:r w:rsidRPr="00232EBB">
              <w:rPr>
                <w:rFonts w:eastAsia="Calibri"/>
                <w:noProof/>
                <w:color w:val="808080" w:themeColor="background1" w:themeShade="80"/>
                <w:sz w:val="22"/>
                <w:szCs w:val="22"/>
                <w:lang w:val="es-MX"/>
              </w:rPr>
              <w:t>Licitación Pública Nacional</w:t>
            </w:r>
          </w:p>
        </w:tc>
        <w:tc>
          <w:tcPr>
            <w:tcW w:w="2220" w:type="dxa"/>
            <w:tcBorders>
              <w:top w:val="nil"/>
              <w:left w:val="nil"/>
              <w:bottom w:val="single" w:sz="4" w:space="0" w:color="auto"/>
              <w:right w:val="single" w:sz="4" w:space="0" w:color="auto"/>
            </w:tcBorders>
            <w:noWrap/>
            <w:vAlign w:val="center"/>
            <w:hideMark/>
          </w:tcPr>
          <w:p w14:paraId="3B1C36DC" w14:textId="06EF16D2" w:rsidR="004668C8" w:rsidRPr="00232EBB" w:rsidRDefault="00E8731F" w:rsidP="00604F8F">
            <w:pPr>
              <w:spacing w:after="0" w:line="240" w:lineRule="auto"/>
              <w:jc w:val="center"/>
              <w:rPr>
                <w:rFonts w:eastAsia="Calibri"/>
                <w:noProof/>
                <w:color w:val="808080" w:themeColor="background1" w:themeShade="80"/>
                <w:sz w:val="22"/>
                <w:szCs w:val="22"/>
                <w:lang w:val="es-MX"/>
              </w:rPr>
            </w:pPr>
            <w:r>
              <w:rPr>
                <w:rFonts w:eastAsia="Calibri"/>
                <w:noProof/>
                <w:color w:val="808080" w:themeColor="background1" w:themeShade="80"/>
                <w:sz w:val="22"/>
                <w:szCs w:val="22"/>
                <w:lang w:val="es-MX"/>
              </w:rPr>
              <w:t>3</w:t>
            </w:r>
          </w:p>
        </w:tc>
        <w:tc>
          <w:tcPr>
            <w:tcW w:w="1761" w:type="dxa"/>
            <w:tcBorders>
              <w:top w:val="nil"/>
              <w:left w:val="nil"/>
              <w:bottom w:val="single" w:sz="4" w:space="0" w:color="auto"/>
              <w:right w:val="single" w:sz="4" w:space="0" w:color="auto"/>
            </w:tcBorders>
            <w:noWrap/>
            <w:vAlign w:val="center"/>
            <w:hideMark/>
          </w:tcPr>
          <w:p w14:paraId="447170BC" w14:textId="2EE6C98F" w:rsidR="004668C8" w:rsidRPr="00232EBB" w:rsidRDefault="00E8731F" w:rsidP="00604F8F">
            <w:pPr>
              <w:spacing w:after="0" w:line="240" w:lineRule="auto"/>
              <w:jc w:val="center"/>
              <w:rPr>
                <w:rFonts w:eastAsia="Calibri"/>
                <w:noProof/>
                <w:color w:val="808080" w:themeColor="background1" w:themeShade="80"/>
                <w:sz w:val="22"/>
                <w:szCs w:val="22"/>
                <w:lang w:val="es-MX"/>
              </w:rPr>
            </w:pPr>
            <w:r>
              <w:rPr>
                <w:rFonts w:eastAsia="Calibri"/>
                <w:noProof/>
                <w:color w:val="808080" w:themeColor="background1" w:themeShade="80"/>
                <w:sz w:val="22"/>
                <w:szCs w:val="22"/>
                <w:lang w:val="es-MX"/>
              </w:rPr>
              <w:t>69,171,762.65</w:t>
            </w:r>
          </w:p>
        </w:tc>
      </w:tr>
    </w:tbl>
    <w:p w14:paraId="1D78A48F" w14:textId="27312BD8" w:rsidR="004668C8" w:rsidRPr="00232EBB" w:rsidRDefault="004668C8" w:rsidP="00953914">
      <w:pPr>
        <w:spacing w:before="240" w:after="0" w:line="360" w:lineRule="auto"/>
        <w:ind w:right="-180"/>
        <w:rPr>
          <w:rFonts w:eastAsia="Calibri"/>
          <w:noProof/>
          <w:color w:val="808080" w:themeColor="background1" w:themeShade="80"/>
          <w:sz w:val="18"/>
          <w:szCs w:val="18"/>
          <w:lang w:val="es-ES"/>
        </w:rPr>
      </w:pPr>
      <w:r w:rsidRPr="00232EBB">
        <w:rPr>
          <w:rFonts w:eastAsia="Calibri"/>
          <w:b/>
          <w:bCs/>
          <w:noProof/>
          <w:color w:val="808080" w:themeColor="background1" w:themeShade="80"/>
          <w:sz w:val="18"/>
          <w:szCs w:val="18"/>
          <w:lang w:val="es-ES"/>
        </w:rPr>
        <w:t xml:space="preserve">Tabla </w:t>
      </w:r>
      <w:r w:rsidR="003E1BC1" w:rsidRPr="00232EBB">
        <w:rPr>
          <w:rFonts w:eastAsia="Calibri"/>
          <w:b/>
          <w:bCs/>
          <w:noProof/>
          <w:color w:val="808080" w:themeColor="background1" w:themeShade="80"/>
          <w:sz w:val="18"/>
          <w:szCs w:val="18"/>
          <w:lang w:val="es-ES"/>
        </w:rPr>
        <w:t>1</w:t>
      </w:r>
      <w:r w:rsidR="00E27BAB">
        <w:rPr>
          <w:rFonts w:eastAsia="Calibri"/>
          <w:b/>
          <w:bCs/>
          <w:noProof/>
          <w:color w:val="808080" w:themeColor="background1" w:themeShade="80"/>
          <w:sz w:val="18"/>
          <w:szCs w:val="18"/>
          <w:lang w:val="es-ES"/>
        </w:rPr>
        <w:t>7</w:t>
      </w:r>
      <w:r w:rsidRPr="00232EBB">
        <w:rPr>
          <w:rFonts w:eastAsia="Calibri"/>
          <w:b/>
          <w:bCs/>
          <w:noProof/>
          <w:color w:val="808080" w:themeColor="background1" w:themeShade="80"/>
          <w:sz w:val="18"/>
          <w:szCs w:val="18"/>
          <w:lang w:val="es-ES"/>
        </w:rPr>
        <w:t xml:space="preserve">: </w:t>
      </w:r>
      <w:r w:rsidRPr="00232EBB">
        <w:rPr>
          <w:rFonts w:eastAsia="Calibri"/>
          <w:noProof/>
          <w:color w:val="808080" w:themeColor="background1" w:themeShade="80"/>
          <w:sz w:val="18"/>
          <w:szCs w:val="18"/>
          <w:lang w:val="es-ES"/>
        </w:rPr>
        <w:t>Compras verdes por la Dirección Administrativa</w:t>
      </w:r>
      <w:r w:rsidR="00CC60F9" w:rsidRPr="00232EBB">
        <w:rPr>
          <w:rFonts w:eastAsia="Calibri"/>
          <w:noProof/>
          <w:color w:val="808080" w:themeColor="background1" w:themeShade="80"/>
          <w:sz w:val="18"/>
          <w:szCs w:val="18"/>
          <w:lang w:val="es-ES"/>
        </w:rPr>
        <w:t>.</w:t>
      </w:r>
    </w:p>
    <w:p w14:paraId="3B00F57F" w14:textId="77777777" w:rsidR="004668C8" w:rsidRPr="00232EBB" w:rsidRDefault="004668C8" w:rsidP="002D008B">
      <w:pPr>
        <w:spacing w:after="0" w:line="360" w:lineRule="auto"/>
        <w:rPr>
          <w:rFonts w:eastAsia="Calibri"/>
          <w:noProof/>
          <w:color w:val="808080" w:themeColor="background1" w:themeShade="80"/>
          <w:sz w:val="18"/>
          <w:szCs w:val="18"/>
          <w:lang w:val="es-ES"/>
        </w:rPr>
      </w:pPr>
    </w:p>
    <w:p w14:paraId="3055D3A1" w14:textId="444FD69C" w:rsidR="00DB1AE3" w:rsidRPr="00232EBB" w:rsidRDefault="00DB1AE3" w:rsidP="005F0428">
      <w:pPr>
        <w:spacing w:after="0" w:line="360" w:lineRule="auto"/>
        <w:jc w:val="both"/>
        <w:rPr>
          <w:rFonts w:eastAsia="Calibri"/>
          <w:noProof/>
          <w:color w:val="808080" w:themeColor="background1" w:themeShade="80"/>
          <w:lang w:val="es-MX"/>
        </w:rPr>
      </w:pPr>
      <w:bookmarkStart w:id="117" w:name="_Hlk216083876"/>
      <w:bookmarkEnd w:id="114"/>
      <w:bookmarkEnd w:id="115"/>
      <w:r w:rsidRPr="00232EBB">
        <w:rPr>
          <w:rFonts w:eastAsia="Calibri"/>
          <w:noProof/>
          <w:color w:val="808080" w:themeColor="background1" w:themeShade="80"/>
          <w:lang w:val="es-MX"/>
        </w:rPr>
        <w:t xml:space="preserve">En la última medición disponible en el portal de la Dirección General de Contrataciones Públicas, en su calidad de Órgano Rector </w:t>
      </w:r>
      <w:r w:rsidRPr="00232EBB">
        <w:rPr>
          <w:rFonts w:eastAsia="Calibri"/>
          <w:noProof/>
          <w:color w:val="808080" w:themeColor="background1" w:themeShade="80"/>
          <w:lang w:val="es-MX"/>
        </w:rPr>
        <w:lastRenderedPageBreak/>
        <w:t xml:space="preserve">del Sistema Nacional de Compras (SNCC) hemos alcanzado una puntuación de </w:t>
      </w:r>
      <w:r w:rsidR="00624014">
        <w:rPr>
          <w:rFonts w:eastAsia="Calibri"/>
          <w:noProof/>
          <w:color w:val="808080" w:themeColor="background1" w:themeShade="80"/>
          <w:lang w:val="es-MX"/>
        </w:rPr>
        <w:t>95.14</w:t>
      </w:r>
      <w:r w:rsidRPr="00232EBB">
        <w:rPr>
          <w:rFonts w:eastAsia="Calibri"/>
          <w:noProof/>
          <w:color w:val="808080" w:themeColor="background1" w:themeShade="80"/>
          <w:lang w:val="es-MX"/>
        </w:rPr>
        <w:t>.%.</w:t>
      </w:r>
    </w:p>
    <w:p w14:paraId="2C5683DD" w14:textId="03FBF3E2" w:rsidR="00DB1AE3" w:rsidRPr="00624014" w:rsidRDefault="00624014" w:rsidP="00DB1AE3">
      <w:pPr>
        <w:pStyle w:val="NormalWeb"/>
        <w:rPr>
          <w:lang w:val="es-MX"/>
        </w:rPr>
      </w:pPr>
      <w:r w:rsidRPr="00624014">
        <w:rPr>
          <w:noProof/>
          <w:lang w:val="es-MX"/>
        </w:rPr>
        <w:drawing>
          <wp:inline distT="0" distB="0" distL="0" distR="0" wp14:anchorId="73C7E995" wp14:editId="1A050E2E">
            <wp:extent cx="4914900" cy="3416300"/>
            <wp:effectExtent l="0" t="0" r="0" b="0"/>
            <wp:docPr id="1063697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697113" name=""/>
                    <pic:cNvPicPr/>
                  </pic:nvPicPr>
                  <pic:blipFill>
                    <a:blip r:embed="rId33"/>
                    <a:stretch>
                      <a:fillRect/>
                    </a:stretch>
                  </pic:blipFill>
                  <pic:spPr>
                    <a:xfrm>
                      <a:off x="0" y="0"/>
                      <a:ext cx="4914900" cy="3416300"/>
                    </a:xfrm>
                    <a:prstGeom prst="rect">
                      <a:avLst/>
                    </a:prstGeom>
                  </pic:spPr>
                </pic:pic>
              </a:graphicData>
            </a:graphic>
          </wp:inline>
        </w:drawing>
      </w:r>
    </w:p>
    <w:p w14:paraId="50812E4E" w14:textId="2BF6EE45" w:rsidR="00DB1AE3" w:rsidRDefault="00DB1AE3" w:rsidP="00DB1AE3">
      <w:pPr>
        <w:pStyle w:val="Heading1"/>
        <w:jc w:val="both"/>
        <w:rPr>
          <w:rFonts w:cs="Times New Roman"/>
          <w:b w:val="0"/>
          <w:color w:val="808080" w:themeColor="background1" w:themeShade="80"/>
          <w:sz w:val="18"/>
          <w:szCs w:val="20"/>
          <w:lang w:val="es-ES"/>
        </w:rPr>
      </w:pPr>
      <w:bookmarkStart w:id="118" w:name="_Toc216952226"/>
      <w:r w:rsidRPr="00232EBB">
        <w:rPr>
          <w:rFonts w:cs="Times New Roman"/>
          <w:bCs/>
          <w:color w:val="808080" w:themeColor="background1" w:themeShade="80"/>
          <w:sz w:val="18"/>
          <w:szCs w:val="20"/>
          <w:lang w:val="es-ES"/>
        </w:rPr>
        <w:t>Imagen 1</w:t>
      </w:r>
      <w:r w:rsidRPr="00232EBB">
        <w:rPr>
          <w:rFonts w:cs="Times New Roman"/>
          <w:b w:val="0"/>
          <w:color w:val="808080" w:themeColor="background1" w:themeShade="80"/>
          <w:sz w:val="18"/>
          <w:szCs w:val="20"/>
          <w:lang w:val="es-ES"/>
        </w:rPr>
        <w:t xml:space="preserve">: Calificación Portal </w:t>
      </w:r>
      <w:r w:rsidR="00247D12" w:rsidRPr="00232EBB">
        <w:rPr>
          <w:rFonts w:cs="Times New Roman"/>
          <w:b w:val="0"/>
          <w:color w:val="808080" w:themeColor="background1" w:themeShade="80"/>
          <w:sz w:val="18"/>
          <w:szCs w:val="20"/>
          <w:lang w:val="es-ES"/>
        </w:rPr>
        <w:t>SISCOMPRAS</w:t>
      </w:r>
      <w:r w:rsidRPr="00232EBB">
        <w:rPr>
          <w:rFonts w:cs="Times New Roman"/>
          <w:b w:val="0"/>
          <w:color w:val="808080" w:themeColor="background1" w:themeShade="80"/>
          <w:sz w:val="18"/>
          <w:szCs w:val="20"/>
          <w:lang w:val="es-ES"/>
        </w:rPr>
        <w:t xml:space="preserve"> </w:t>
      </w:r>
      <w:r w:rsidR="006E5ACF" w:rsidRPr="00232EBB">
        <w:rPr>
          <w:rFonts w:cs="Times New Roman"/>
          <w:b w:val="0"/>
          <w:color w:val="808080" w:themeColor="background1" w:themeShade="80"/>
          <w:sz w:val="18"/>
          <w:szCs w:val="20"/>
          <w:lang w:val="es-ES"/>
        </w:rPr>
        <w:t>a diciembre</w:t>
      </w:r>
      <w:r w:rsidRPr="00232EBB">
        <w:rPr>
          <w:rFonts w:cs="Times New Roman"/>
          <w:b w:val="0"/>
          <w:color w:val="808080" w:themeColor="background1" w:themeShade="80"/>
          <w:sz w:val="18"/>
          <w:szCs w:val="20"/>
          <w:lang w:val="es-ES"/>
        </w:rPr>
        <w:t xml:space="preserve"> 2025.</w:t>
      </w:r>
      <w:bookmarkEnd w:id="118"/>
    </w:p>
    <w:tbl>
      <w:tblPr>
        <w:tblpPr w:leftFromText="141" w:rightFromText="141" w:vertAnchor="text" w:horzAnchor="margin" w:tblpY="361"/>
        <w:tblW w:w="7650" w:type="dxa"/>
        <w:shd w:val="clear" w:color="auto" w:fill="FFFFFF"/>
        <w:tblCellMar>
          <w:left w:w="0" w:type="dxa"/>
          <w:right w:w="0" w:type="dxa"/>
        </w:tblCellMar>
        <w:tblLook w:val="04A0" w:firstRow="1" w:lastRow="0" w:firstColumn="1" w:lastColumn="0" w:noHBand="0" w:noVBand="1"/>
      </w:tblPr>
      <w:tblGrid>
        <w:gridCol w:w="3150"/>
        <w:gridCol w:w="1125"/>
        <w:gridCol w:w="1125"/>
        <w:gridCol w:w="1125"/>
        <w:gridCol w:w="1125"/>
      </w:tblGrid>
      <w:tr w:rsidR="00F017ED" w:rsidRPr="00094160" w14:paraId="16B11A88" w14:textId="77777777" w:rsidTr="00F017ED">
        <w:trPr>
          <w:trHeight w:val="226"/>
        </w:trPr>
        <w:tc>
          <w:tcPr>
            <w:tcW w:w="3150" w:type="dxa"/>
            <w:tcBorders>
              <w:top w:val="single" w:sz="8" w:space="0" w:color="auto"/>
              <w:left w:val="single" w:sz="8" w:space="0" w:color="auto"/>
              <w:bottom w:val="single" w:sz="8" w:space="0" w:color="auto"/>
              <w:right w:val="single" w:sz="8" w:space="0" w:color="auto"/>
            </w:tcBorders>
            <w:shd w:val="clear" w:color="auto" w:fill="002060"/>
            <w:tcMar>
              <w:top w:w="15" w:type="dxa"/>
              <w:left w:w="15" w:type="dxa"/>
              <w:bottom w:w="0" w:type="dxa"/>
              <w:right w:w="15" w:type="dxa"/>
            </w:tcMar>
            <w:vAlign w:val="center"/>
            <w:hideMark/>
          </w:tcPr>
          <w:p w14:paraId="2A4095C5" w14:textId="77777777" w:rsidR="00F017ED" w:rsidRPr="00094160" w:rsidRDefault="00F017ED" w:rsidP="00F017ED">
            <w:pPr>
              <w:pStyle w:val="elementtoproof"/>
              <w:jc w:val="center"/>
              <w:rPr>
                <w:rFonts w:ascii="Times New Roman" w:eastAsia="Times New Roman" w:hAnsi="Times New Roman" w:cs="Times New Roman"/>
                <w:b/>
                <w:bCs/>
                <w:color w:val="FFFFFF" w:themeColor="background1"/>
                <w:sz w:val="24"/>
                <w:szCs w:val="24"/>
                <w:lang w:val="es-DO"/>
              </w:rPr>
            </w:pPr>
            <w:r w:rsidRPr="00094160">
              <w:rPr>
                <w:rFonts w:ascii="Times New Roman" w:eastAsia="Times New Roman" w:hAnsi="Times New Roman" w:cs="Times New Roman"/>
                <w:b/>
                <w:bCs/>
                <w:color w:val="FFFFFF" w:themeColor="background1"/>
                <w:sz w:val="24"/>
                <w:szCs w:val="24"/>
                <w:lang w:val="es-DO"/>
              </w:rPr>
              <w:t>Puntuación SISCOMPRAS </w:t>
            </w:r>
          </w:p>
        </w:tc>
        <w:tc>
          <w:tcPr>
            <w:tcW w:w="1125" w:type="dxa"/>
            <w:tcBorders>
              <w:top w:val="single" w:sz="8" w:space="0" w:color="auto"/>
              <w:left w:val="nil"/>
              <w:bottom w:val="single" w:sz="8" w:space="0" w:color="auto"/>
              <w:right w:val="single" w:sz="8" w:space="0" w:color="auto"/>
            </w:tcBorders>
            <w:shd w:val="clear" w:color="auto" w:fill="002060"/>
            <w:tcMar>
              <w:top w:w="15" w:type="dxa"/>
              <w:left w:w="15" w:type="dxa"/>
              <w:bottom w:w="0" w:type="dxa"/>
              <w:right w:w="15" w:type="dxa"/>
            </w:tcMar>
            <w:vAlign w:val="center"/>
            <w:hideMark/>
          </w:tcPr>
          <w:p w14:paraId="0ABE6223" w14:textId="77777777" w:rsidR="00F017ED" w:rsidRPr="00094160" w:rsidRDefault="00F017ED" w:rsidP="00F017ED">
            <w:pPr>
              <w:pStyle w:val="NormalWeb"/>
              <w:jc w:val="center"/>
              <w:rPr>
                <w:b/>
                <w:bCs/>
                <w:color w:val="242424"/>
              </w:rPr>
            </w:pPr>
            <w:r w:rsidRPr="00094160">
              <w:rPr>
                <w:b/>
                <w:bCs/>
                <w:color w:val="FFFFFF"/>
              </w:rPr>
              <w:t>T1</w:t>
            </w:r>
          </w:p>
        </w:tc>
        <w:tc>
          <w:tcPr>
            <w:tcW w:w="1125" w:type="dxa"/>
            <w:tcBorders>
              <w:top w:val="single" w:sz="8" w:space="0" w:color="auto"/>
              <w:left w:val="nil"/>
              <w:bottom w:val="single" w:sz="8" w:space="0" w:color="auto"/>
              <w:right w:val="single" w:sz="8" w:space="0" w:color="auto"/>
            </w:tcBorders>
            <w:shd w:val="clear" w:color="auto" w:fill="002060"/>
            <w:tcMar>
              <w:top w:w="15" w:type="dxa"/>
              <w:left w:w="15" w:type="dxa"/>
              <w:bottom w:w="0" w:type="dxa"/>
              <w:right w:w="15" w:type="dxa"/>
            </w:tcMar>
            <w:vAlign w:val="center"/>
            <w:hideMark/>
          </w:tcPr>
          <w:p w14:paraId="44C79BB3" w14:textId="77777777" w:rsidR="00F017ED" w:rsidRPr="00094160" w:rsidRDefault="00F017ED" w:rsidP="00F017ED">
            <w:pPr>
              <w:pStyle w:val="NormalWeb"/>
              <w:jc w:val="center"/>
              <w:rPr>
                <w:b/>
                <w:bCs/>
                <w:color w:val="242424"/>
              </w:rPr>
            </w:pPr>
            <w:r w:rsidRPr="00094160">
              <w:rPr>
                <w:b/>
                <w:bCs/>
                <w:color w:val="FFFFFF"/>
              </w:rPr>
              <w:t>T2</w:t>
            </w:r>
          </w:p>
        </w:tc>
        <w:tc>
          <w:tcPr>
            <w:tcW w:w="1125" w:type="dxa"/>
            <w:tcBorders>
              <w:top w:val="single" w:sz="8" w:space="0" w:color="auto"/>
              <w:left w:val="nil"/>
              <w:bottom w:val="single" w:sz="8" w:space="0" w:color="auto"/>
              <w:right w:val="single" w:sz="8" w:space="0" w:color="auto"/>
            </w:tcBorders>
            <w:shd w:val="clear" w:color="auto" w:fill="002060"/>
            <w:tcMar>
              <w:top w:w="15" w:type="dxa"/>
              <w:left w:w="15" w:type="dxa"/>
              <w:bottom w:w="0" w:type="dxa"/>
              <w:right w:w="15" w:type="dxa"/>
            </w:tcMar>
            <w:vAlign w:val="center"/>
            <w:hideMark/>
          </w:tcPr>
          <w:p w14:paraId="38AD0AB4" w14:textId="77777777" w:rsidR="00F017ED" w:rsidRPr="00094160" w:rsidRDefault="00F017ED" w:rsidP="00F017ED">
            <w:pPr>
              <w:pStyle w:val="NormalWeb"/>
              <w:jc w:val="center"/>
              <w:rPr>
                <w:b/>
                <w:bCs/>
                <w:color w:val="242424"/>
              </w:rPr>
            </w:pPr>
            <w:r w:rsidRPr="00094160">
              <w:rPr>
                <w:b/>
                <w:bCs/>
                <w:color w:val="FFFFFF"/>
              </w:rPr>
              <w:t>T3</w:t>
            </w:r>
          </w:p>
        </w:tc>
        <w:tc>
          <w:tcPr>
            <w:tcW w:w="1125" w:type="dxa"/>
            <w:tcBorders>
              <w:top w:val="single" w:sz="8" w:space="0" w:color="auto"/>
              <w:left w:val="nil"/>
              <w:bottom w:val="single" w:sz="8" w:space="0" w:color="auto"/>
              <w:right w:val="single" w:sz="8" w:space="0" w:color="auto"/>
            </w:tcBorders>
            <w:shd w:val="clear" w:color="auto" w:fill="002060"/>
            <w:tcMar>
              <w:top w:w="15" w:type="dxa"/>
              <w:left w:w="15" w:type="dxa"/>
              <w:bottom w:w="0" w:type="dxa"/>
              <w:right w:w="15" w:type="dxa"/>
            </w:tcMar>
            <w:vAlign w:val="center"/>
            <w:hideMark/>
          </w:tcPr>
          <w:p w14:paraId="61806BB6" w14:textId="77777777" w:rsidR="00F017ED" w:rsidRPr="00094160" w:rsidRDefault="00F017ED" w:rsidP="00F017ED">
            <w:pPr>
              <w:pStyle w:val="NormalWeb"/>
              <w:jc w:val="center"/>
              <w:rPr>
                <w:b/>
                <w:bCs/>
                <w:color w:val="242424"/>
              </w:rPr>
            </w:pPr>
            <w:r w:rsidRPr="00094160">
              <w:rPr>
                <w:b/>
                <w:bCs/>
                <w:color w:val="FFFFFF"/>
              </w:rPr>
              <w:t>T4</w:t>
            </w:r>
          </w:p>
        </w:tc>
      </w:tr>
      <w:tr w:rsidR="00F017ED" w:rsidRPr="00232EBB" w14:paraId="516316E2" w14:textId="77777777" w:rsidTr="00F017ED">
        <w:trPr>
          <w:trHeight w:val="226"/>
        </w:trPr>
        <w:tc>
          <w:tcPr>
            <w:tcW w:w="3150" w:type="dxa"/>
            <w:tcBorders>
              <w:top w:val="nil"/>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23539F16" w14:textId="77777777" w:rsidR="00F017ED" w:rsidRPr="00232EBB" w:rsidRDefault="00F017ED" w:rsidP="00F017ED">
            <w:pPr>
              <w:pStyle w:val="NormalWeb"/>
              <w:jc w:val="center"/>
              <w:rPr>
                <w:color w:val="242424"/>
              </w:rPr>
            </w:pPr>
            <w:r w:rsidRPr="00232EBB">
              <w:rPr>
                <w:color w:val="808080"/>
              </w:rPr>
              <w:t>Planificación Compras</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5A0AD400" w14:textId="77777777" w:rsidR="00F017ED" w:rsidRPr="00232EBB" w:rsidRDefault="00F017ED" w:rsidP="00F017ED">
            <w:pPr>
              <w:pStyle w:val="NormalWeb"/>
              <w:jc w:val="center"/>
              <w:rPr>
                <w:color w:val="242424"/>
              </w:rPr>
            </w:pPr>
            <w:r w:rsidRPr="00232EBB">
              <w:rPr>
                <w:color w:val="808080"/>
              </w:rPr>
              <w:t>18.87</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6C73E900" w14:textId="77777777" w:rsidR="00F017ED" w:rsidRPr="00232EBB" w:rsidRDefault="00F017ED" w:rsidP="00F017ED">
            <w:pPr>
              <w:pStyle w:val="NormalWeb"/>
              <w:jc w:val="center"/>
              <w:rPr>
                <w:color w:val="242424"/>
              </w:rPr>
            </w:pPr>
            <w:r w:rsidRPr="00232EBB">
              <w:rPr>
                <w:color w:val="808080"/>
              </w:rPr>
              <w:t>19.02</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35BE9F82" w14:textId="77777777" w:rsidR="00F017ED" w:rsidRPr="00232EBB" w:rsidRDefault="00F017ED" w:rsidP="00F017ED">
            <w:pPr>
              <w:pStyle w:val="NormalWeb"/>
              <w:jc w:val="center"/>
              <w:rPr>
                <w:color w:val="242424"/>
              </w:rPr>
            </w:pPr>
            <w:r w:rsidRPr="00232EBB">
              <w:rPr>
                <w:color w:val="808080"/>
              </w:rPr>
              <w:t>18.35</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6CFA1777" w14:textId="77777777" w:rsidR="00F017ED" w:rsidRPr="00232EBB" w:rsidRDefault="00F017ED" w:rsidP="00F017ED">
            <w:pPr>
              <w:pStyle w:val="elementtoproof"/>
              <w:jc w:val="center"/>
              <w:rPr>
                <w:rFonts w:ascii="Times New Roman" w:hAnsi="Times New Roman" w:cs="Times New Roman"/>
                <w:color w:val="242424"/>
              </w:rPr>
            </w:pPr>
            <w:r w:rsidRPr="00232EBB">
              <w:rPr>
                <w:rFonts w:ascii="Times New Roman" w:hAnsi="Times New Roman" w:cs="Times New Roman"/>
                <w:color w:val="808080"/>
              </w:rPr>
              <w:t>19.15</w:t>
            </w:r>
          </w:p>
        </w:tc>
      </w:tr>
      <w:tr w:rsidR="00F017ED" w:rsidRPr="00232EBB" w14:paraId="71B09B3B" w14:textId="77777777" w:rsidTr="00F017ED">
        <w:trPr>
          <w:trHeight w:val="226"/>
        </w:trPr>
        <w:tc>
          <w:tcPr>
            <w:tcW w:w="3150" w:type="dxa"/>
            <w:tcBorders>
              <w:top w:val="nil"/>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6171B03F" w14:textId="77777777" w:rsidR="00F017ED" w:rsidRPr="00232EBB" w:rsidRDefault="00F017ED" w:rsidP="00F017ED">
            <w:pPr>
              <w:pStyle w:val="NormalWeb"/>
              <w:jc w:val="center"/>
              <w:rPr>
                <w:color w:val="242424"/>
              </w:rPr>
            </w:pPr>
            <w:r w:rsidRPr="00232EBB">
              <w:rPr>
                <w:color w:val="808080"/>
              </w:rPr>
              <w:t>Gestión de Procesos</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61833A0D" w14:textId="77777777" w:rsidR="00F017ED" w:rsidRPr="00232EBB" w:rsidRDefault="00F017ED" w:rsidP="00F017ED">
            <w:pPr>
              <w:pStyle w:val="NormalWeb"/>
              <w:jc w:val="center"/>
              <w:rPr>
                <w:color w:val="242424"/>
              </w:rPr>
            </w:pPr>
            <w:r w:rsidRPr="00232EBB">
              <w:rPr>
                <w:color w:val="808080"/>
              </w:rPr>
              <w:t>15</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0256E469" w14:textId="77777777" w:rsidR="00F017ED" w:rsidRPr="00232EBB" w:rsidRDefault="00F017ED" w:rsidP="00F017ED">
            <w:pPr>
              <w:pStyle w:val="NormalWeb"/>
              <w:jc w:val="center"/>
              <w:rPr>
                <w:color w:val="242424"/>
              </w:rPr>
            </w:pPr>
            <w:r w:rsidRPr="00232EBB">
              <w:rPr>
                <w:color w:val="808080"/>
              </w:rPr>
              <w:t>15</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5A8541E5" w14:textId="77777777" w:rsidR="00F017ED" w:rsidRPr="00232EBB" w:rsidRDefault="00F017ED" w:rsidP="00F017ED">
            <w:pPr>
              <w:pStyle w:val="NormalWeb"/>
              <w:jc w:val="center"/>
              <w:rPr>
                <w:color w:val="242424"/>
              </w:rPr>
            </w:pPr>
            <w:r w:rsidRPr="00232EBB">
              <w:rPr>
                <w:color w:val="808080"/>
              </w:rPr>
              <w:t>14.68</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453DDF69" w14:textId="77777777" w:rsidR="00F017ED" w:rsidRPr="00232EBB" w:rsidRDefault="00F017ED" w:rsidP="00F017ED">
            <w:pPr>
              <w:pStyle w:val="elementtoproof"/>
              <w:jc w:val="center"/>
              <w:rPr>
                <w:rFonts w:ascii="Times New Roman" w:hAnsi="Times New Roman" w:cs="Times New Roman"/>
                <w:color w:val="242424"/>
              </w:rPr>
            </w:pPr>
            <w:r>
              <w:rPr>
                <w:rFonts w:ascii="Times New Roman" w:hAnsi="Times New Roman" w:cs="Times New Roman"/>
                <w:color w:val="808080"/>
              </w:rPr>
              <w:t>14.83</w:t>
            </w:r>
          </w:p>
        </w:tc>
      </w:tr>
      <w:tr w:rsidR="00F017ED" w:rsidRPr="00232EBB" w14:paraId="56461145" w14:textId="77777777" w:rsidTr="00F017ED">
        <w:trPr>
          <w:trHeight w:val="226"/>
        </w:trPr>
        <w:tc>
          <w:tcPr>
            <w:tcW w:w="3150" w:type="dxa"/>
            <w:tcBorders>
              <w:top w:val="nil"/>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1F400957" w14:textId="77777777" w:rsidR="00F017ED" w:rsidRPr="00232EBB" w:rsidRDefault="00F017ED" w:rsidP="00F017ED">
            <w:pPr>
              <w:pStyle w:val="NormalWeb"/>
              <w:jc w:val="center"/>
              <w:rPr>
                <w:color w:val="242424"/>
              </w:rPr>
            </w:pPr>
            <w:r w:rsidRPr="00232EBB">
              <w:rPr>
                <w:color w:val="808080"/>
              </w:rPr>
              <w:t>Tiempo Gestión Procesos</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76B31F73" w14:textId="77777777" w:rsidR="00F017ED" w:rsidRPr="00232EBB" w:rsidRDefault="00F017ED" w:rsidP="00F017ED">
            <w:pPr>
              <w:pStyle w:val="NormalWeb"/>
              <w:jc w:val="center"/>
              <w:rPr>
                <w:color w:val="242424"/>
              </w:rPr>
            </w:pPr>
            <w:r w:rsidRPr="00232EBB">
              <w:rPr>
                <w:color w:val="808080"/>
              </w:rPr>
              <w:t>8.37</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50CA7E9B" w14:textId="77777777" w:rsidR="00F017ED" w:rsidRPr="00232EBB" w:rsidRDefault="00F017ED" w:rsidP="00F017ED">
            <w:pPr>
              <w:pStyle w:val="NormalWeb"/>
              <w:jc w:val="center"/>
              <w:rPr>
                <w:color w:val="242424"/>
              </w:rPr>
            </w:pPr>
            <w:r w:rsidRPr="00232EBB">
              <w:rPr>
                <w:color w:val="808080"/>
              </w:rPr>
              <w:t>14.54</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0367D5A8" w14:textId="77777777" w:rsidR="00F017ED" w:rsidRPr="00232EBB" w:rsidRDefault="00F017ED" w:rsidP="00F017ED">
            <w:pPr>
              <w:pStyle w:val="NormalWeb"/>
              <w:jc w:val="center"/>
              <w:rPr>
                <w:color w:val="242424"/>
              </w:rPr>
            </w:pPr>
            <w:r w:rsidRPr="00232EBB">
              <w:rPr>
                <w:color w:val="808080"/>
              </w:rPr>
              <w:t>13.8</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417C3D3C" w14:textId="77777777" w:rsidR="00F017ED" w:rsidRPr="00232EBB" w:rsidRDefault="00F017ED" w:rsidP="00F017ED">
            <w:pPr>
              <w:pStyle w:val="elementtoproof"/>
              <w:jc w:val="center"/>
              <w:rPr>
                <w:rFonts w:ascii="Times New Roman" w:hAnsi="Times New Roman" w:cs="Times New Roman"/>
                <w:color w:val="242424"/>
              </w:rPr>
            </w:pPr>
            <w:r w:rsidRPr="00232EBB">
              <w:rPr>
                <w:rFonts w:ascii="Times New Roman" w:hAnsi="Times New Roman" w:cs="Times New Roman"/>
                <w:color w:val="808080"/>
              </w:rPr>
              <w:t>14.</w:t>
            </w:r>
            <w:r>
              <w:rPr>
                <w:rFonts w:ascii="Times New Roman" w:hAnsi="Times New Roman" w:cs="Times New Roman"/>
                <w:color w:val="808080"/>
              </w:rPr>
              <w:t>11</w:t>
            </w:r>
          </w:p>
        </w:tc>
      </w:tr>
      <w:tr w:rsidR="00F017ED" w:rsidRPr="00232EBB" w14:paraId="6DDB2A73" w14:textId="77777777" w:rsidTr="00F017ED">
        <w:trPr>
          <w:trHeight w:val="226"/>
        </w:trPr>
        <w:tc>
          <w:tcPr>
            <w:tcW w:w="3150" w:type="dxa"/>
            <w:tcBorders>
              <w:top w:val="nil"/>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5911622D" w14:textId="77777777" w:rsidR="00F017ED" w:rsidRPr="00232EBB" w:rsidRDefault="00F017ED" w:rsidP="00F017ED">
            <w:pPr>
              <w:pStyle w:val="NormalWeb"/>
              <w:jc w:val="center"/>
              <w:rPr>
                <w:color w:val="242424"/>
              </w:rPr>
            </w:pPr>
            <w:r w:rsidRPr="00232EBB">
              <w:rPr>
                <w:color w:val="808080"/>
              </w:rPr>
              <w:t>Administración Contratos</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0AF03796" w14:textId="77777777" w:rsidR="00F017ED" w:rsidRPr="00232EBB" w:rsidRDefault="00F017ED" w:rsidP="00F017ED">
            <w:pPr>
              <w:pStyle w:val="NormalWeb"/>
              <w:jc w:val="center"/>
              <w:rPr>
                <w:color w:val="242424"/>
              </w:rPr>
            </w:pPr>
            <w:r w:rsidRPr="00232EBB">
              <w:rPr>
                <w:color w:val="808080"/>
              </w:rPr>
              <w:t>29.69</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3C9123CC" w14:textId="77777777" w:rsidR="00F017ED" w:rsidRPr="00232EBB" w:rsidRDefault="00F017ED" w:rsidP="00F017ED">
            <w:pPr>
              <w:pStyle w:val="NormalWeb"/>
              <w:jc w:val="center"/>
              <w:rPr>
                <w:color w:val="242424"/>
              </w:rPr>
            </w:pPr>
            <w:r w:rsidRPr="00232EBB">
              <w:rPr>
                <w:color w:val="808080"/>
              </w:rPr>
              <w:t>27.89</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27172CB1" w14:textId="77777777" w:rsidR="00F017ED" w:rsidRPr="00232EBB" w:rsidRDefault="00F017ED" w:rsidP="00F017ED">
            <w:pPr>
              <w:pStyle w:val="NormalWeb"/>
              <w:jc w:val="center"/>
              <w:rPr>
                <w:color w:val="242424"/>
              </w:rPr>
            </w:pPr>
            <w:r w:rsidRPr="00232EBB">
              <w:rPr>
                <w:color w:val="808080"/>
              </w:rPr>
              <w:t>29.35</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3F1A4523" w14:textId="77777777" w:rsidR="00F017ED" w:rsidRPr="00232EBB" w:rsidRDefault="00F017ED" w:rsidP="00F017ED">
            <w:pPr>
              <w:pStyle w:val="elementtoproof"/>
              <w:jc w:val="center"/>
              <w:rPr>
                <w:rFonts w:ascii="Times New Roman" w:hAnsi="Times New Roman" w:cs="Times New Roman"/>
                <w:color w:val="242424"/>
              </w:rPr>
            </w:pPr>
            <w:r>
              <w:rPr>
                <w:rFonts w:ascii="Times New Roman" w:hAnsi="Times New Roman" w:cs="Times New Roman"/>
                <w:color w:val="808080"/>
              </w:rPr>
              <w:t>29.06</w:t>
            </w:r>
          </w:p>
        </w:tc>
      </w:tr>
      <w:tr w:rsidR="00F017ED" w:rsidRPr="00232EBB" w14:paraId="08FE27B5" w14:textId="77777777" w:rsidTr="00F017ED">
        <w:trPr>
          <w:trHeight w:val="226"/>
        </w:trPr>
        <w:tc>
          <w:tcPr>
            <w:tcW w:w="3150" w:type="dxa"/>
            <w:tcBorders>
              <w:top w:val="nil"/>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0BF87CB6" w14:textId="77777777" w:rsidR="00F017ED" w:rsidRPr="00232EBB" w:rsidRDefault="00F017ED" w:rsidP="00F017ED">
            <w:pPr>
              <w:pStyle w:val="NormalWeb"/>
              <w:jc w:val="center"/>
              <w:rPr>
                <w:color w:val="242424"/>
              </w:rPr>
            </w:pPr>
            <w:r w:rsidRPr="00232EBB">
              <w:rPr>
                <w:color w:val="808080"/>
              </w:rPr>
              <w:t>Compras Mipymes</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56D4FA34" w14:textId="77777777" w:rsidR="00F017ED" w:rsidRPr="00232EBB" w:rsidRDefault="00F017ED" w:rsidP="00F017ED">
            <w:pPr>
              <w:pStyle w:val="NormalWeb"/>
              <w:jc w:val="center"/>
              <w:rPr>
                <w:color w:val="242424"/>
              </w:rPr>
            </w:pPr>
            <w:r w:rsidRPr="00232EBB">
              <w:rPr>
                <w:color w:val="808080"/>
              </w:rPr>
              <w:t>18.34</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438F7D8C" w14:textId="77777777" w:rsidR="00F017ED" w:rsidRPr="00232EBB" w:rsidRDefault="00F017ED" w:rsidP="00F017ED">
            <w:pPr>
              <w:pStyle w:val="NormalWeb"/>
              <w:jc w:val="center"/>
              <w:rPr>
                <w:color w:val="242424"/>
              </w:rPr>
            </w:pPr>
            <w:r w:rsidRPr="00232EBB">
              <w:rPr>
                <w:color w:val="808080"/>
              </w:rPr>
              <w:t>20</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72D049D6" w14:textId="77777777" w:rsidR="00F017ED" w:rsidRPr="00232EBB" w:rsidRDefault="00F017ED" w:rsidP="00F017ED">
            <w:pPr>
              <w:pStyle w:val="NormalWeb"/>
              <w:jc w:val="center"/>
              <w:rPr>
                <w:color w:val="242424"/>
              </w:rPr>
            </w:pPr>
            <w:r w:rsidRPr="00232EBB">
              <w:rPr>
                <w:color w:val="808080"/>
              </w:rPr>
              <w:t>20</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3BAD78C0" w14:textId="77777777" w:rsidR="00F017ED" w:rsidRPr="00DE02CF" w:rsidRDefault="00F017ED" w:rsidP="00DE02CF">
            <w:pPr>
              <w:pStyle w:val="elementtoproof"/>
              <w:jc w:val="center"/>
              <w:rPr>
                <w:rFonts w:ascii="Times New Roman" w:hAnsi="Times New Roman" w:cs="Times New Roman"/>
                <w:color w:val="808080"/>
              </w:rPr>
            </w:pPr>
            <w:r w:rsidRPr="00DE02CF">
              <w:rPr>
                <w:rFonts w:ascii="Times New Roman" w:hAnsi="Times New Roman" w:cs="Times New Roman"/>
                <w:color w:val="808080"/>
              </w:rPr>
              <w:t>18</w:t>
            </w:r>
          </w:p>
        </w:tc>
      </w:tr>
      <w:tr w:rsidR="00F017ED" w:rsidRPr="00232EBB" w14:paraId="6215053F" w14:textId="77777777" w:rsidTr="00F017ED">
        <w:trPr>
          <w:trHeight w:val="226"/>
        </w:trPr>
        <w:tc>
          <w:tcPr>
            <w:tcW w:w="3150" w:type="dxa"/>
            <w:tcBorders>
              <w:top w:val="nil"/>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194608F2" w14:textId="77777777" w:rsidR="00F017ED" w:rsidRPr="00232EBB" w:rsidRDefault="00F017ED" w:rsidP="00F017ED">
            <w:pPr>
              <w:pStyle w:val="NormalWeb"/>
              <w:jc w:val="center"/>
              <w:rPr>
                <w:color w:val="242424"/>
              </w:rPr>
            </w:pPr>
            <w:r w:rsidRPr="00232EBB">
              <w:rPr>
                <w:color w:val="808080"/>
              </w:rPr>
              <w:t>TOTAL</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2ED1FC9D" w14:textId="77777777" w:rsidR="00F017ED" w:rsidRPr="00232EBB" w:rsidRDefault="00F017ED" w:rsidP="00F017ED">
            <w:pPr>
              <w:pStyle w:val="NormalWeb"/>
              <w:jc w:val="center"/>
              <w:rPr>
                <w:color w:val="242424"/>
              </w:rPr>
            </w:pPr>
            <w:r w:rsidRPr="00232EBB">
              <w:rPr>
                <w:b/>
                <w:bCs/>
                <w:color w:val="808080"/>
              </w:rPr>
              <w:t>89.98</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48D4DE90" w14:textId="77777777" w:rsidR="00F017ED" w:rsidRPr="00232EBB" w:rsidRDefault="00F017ED" w:rsidP="00F017ED">
            <w:pPr>
              <w:pStyle w:val="NormalWeb"/>
              <w:jc w:val="center"/>
              <w:rPr>
                <w:color w:val="242424"/>
              </w:rPr>
            </w:pPr>
            <w:r w:rsidRPr="00232EBB">
              <w:rPr>
                <w:b/>
                <w:bCs/>
                <w:color w:val="808080"/>
              </w:rPr>
              <w:t>96.44</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296B17C0" w14:textId="77777777" w:rsidR="00F017ED" w:rsidRPr="00232EBB" w:rsidRDefault="00F017ED" w:rsidP="00F017ED">
            <w:pPr>
              <w:pStyle w:val="NormalWeb"/>
              <w:jc w:val="center"/>
              <w:rPr>
                <w:color w:val="242424"/>
              </w:rPr>
            </w:pPr>
            <w:r w:rsidRPr="00232EBB">
              <w:rPr>
                <w:b/>
                <w:bCs/>
                <w:color w:val="808080"/>
              </w:rPr>
              <w:t>96.19</w:t>
            </w:r>
          </w:p>
        </w:tc>
        <w:tc>
          <w:tcPr>
            <w:tcW w:w="1125"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0C7AE7A3" w14:textId="77777777" w:rsidR="00F017ED" w:rsidRPr="00232EBB" w:rsidRDefault="00F017ED" w:rsidP="00F017ED">
            <w:pPr>
              <w:pStyle w:val="elementtoproof"/>
              <w:jc w:val="center"/>
              <w:rPr>
                <w:rFonts w:ascii="Times New Roman" w:hAnsi="Times New Roman" w:cs="Times New Roman"/>
                <w:color w:val="242424"/>
              </w:rPr>
            </w:pPr>
            <w:r>
              <w:rPr>
                <w:rFonts w:ascii="Times New Roman" w:hAnsi="Times New Roman" w:cs="Times New Roman"/>
                <w:b/>
                <w:bCs/>
                <w:color w:val="808080"/>
              </w:rPr>
              <w:t>95.14</w:t>
            </w:r>
          </w:p>
        </w:tc>
      </w:tr>
    </w:tbl>
    <w:p w14:paraId="793AA920" w14:textId="77777777" w:rsidR="00624014" w:rsidRPr="00624014" w:rsidRDefault="00624014" w:rsidP="00624014">
      <w:pPr>
        <w:rPr>
          <w:lang w:val="es-ES"/>
        </w:rPr>
      </w:pPr>
    </w:p>
    <w:p w14:paraId="48A64034" w14:textId="77777777" w:rsidR="006E5ACF" w:rsidRPr="00232EBB" w:rsidRDefault="006E5ACF" w:rsidP="006E5ACF">
      <w:pPr>
        <w:rPr>
          <w:lang w:val="es-ES"/>
        </w:rPr>
      </w:pPr>
    </w:p>
    <w:p w14:paraId="663E9F68" w14:textId="77777777" w:rsidR="00DB1AE3" w:rsidRPr="00094160" w:rsidRDefault="00DB1AE3" w:rsidP="00DB1AE3">
      <w:pPr>
        <w:spacing w:after="0" w:line="240" w:lineRule="auto"/>
        <w:rPr>
          <w:rFonts w:eastAsia="Times New Roman"/>
          <w:b/>
          <w:bCs/>
          <w:color w:val="000000"/>
          <w:spacing w:val="0"/>
          <w:sz w:val="22"/>
          <w:szCs w:val="22"/>
          <w:lang w:val="es-ES"/>
        </w:rPr>
      </w:pPr>
    </w:p>
    <w:p w14:paraId="6C890DDD" w14:textId="55D6FE66" w:rsidR="00DB1AE3" w:rsidRDefault="00DB1AE3" w:rsidP="00604F8F">
      <w:pPr>
        <w:rPr>
          <w:noProof/>
          <w:sz w:val="18"/>
          <w:szCs w:val="18"/>
          <w:lang w:val="es-ES"/>
        </w:rPr>
      </w:pPr>
      <w:r w:rsidRPr="00232EBB">
        <w:rPr>
          <w:b/>
          <w:bCs/>
          <w:noProof/>
          <w:sz w:val="18"/>
          <w:szCs w:val="18"/>
          <w:lang w:val="es-ES"/>
        </w:rPr>
        <w:t xml:space="preserve">Tabla </w:t>
      </w:r>
      <w:r w:rsidR="003E1BC1" w:rsidRPr="00232EBB">
        <w:rPr>
          <w:b/>
          <w:bCs/>
          <w:noProof/>
          <w:sz w:val="18"/>
          <w:szCs w:val="18"/>
          <w:lang w:val="es-ES"/>
        </w:rPr>
        <w:t>1</w:t>
      </w:r>
      <w:r w:rsidR="00E27BAB">
        <w:rPr>
          <w:b/>
          <w:bCs/>
          <w:noProof/>
          <w:sz w:val="18"/>
          <w:szCs w:val="18"/>
          <w:lang w:val="es-ES"/>
        </w:rPr>
        <w:t>8</w:t>
      </w:r>
      <w:r w:rsidRPr="00232EBB">
        <w:rPr>
          <w:b/>
          <w:bCs/>
          <w:noProof/>
          <w:sz w:val="18"/>
          <w:szCs w:val="18"/>
          <w:lang w:val="es-ES"/>
        </w:rPr>
        <w:t>:</w:t>
      </w:r>
      <w:r w:rsidRPr="00232EBB">
        <w:rPr>
          <w:noProof/>
          <w:sz w:val="18"/>
          <w:szCs w:val="18"/>
          <w:lang w:val="es-ES"/>
        </w:rPr>
        <w:t xml:space="preserve"> Compras verdes por la Dirección Administrativa desde enero hasta </w:t>
      </w:r>
      <w:r w:rsidR="006E5ACF" w:rsidRPr="00232EBB">
        <w:rPr>
          <w:noProof/>
          <w:sz w:val="18"/>
          <w:szCs w:val="18"/>
          <w:lang w:val="es-ES"/>
        </w:rPr>
        <w:t>dic</w:t>
      </w:r>
      <w:r w:rsidRPr="00232EBB">
        <w:rPr>
          <w:noProof/>
          <w:sz w:val="18"/>
          <w:szCs w:val="18"/>
          <w:lang w:val="es-ES"/>
        </w:rPr>
        <w:t>iembre del 2025</w:t>
      </w:r>
    </w:p>
    <w:p w14:paraId="732BA874" w14:textId="77777777" w:rsidR="00DE02CF" w:rsidRDefault="00DE02CF" w:rsidP="00604F8F">
      <w:pPr>
        <w:rPr>
          <w:noProof/>
          <w:sz w:val="18"/>
          <w:szCs w:val="18"/>
          <w:lang w:val="es-ES"/>
        </w:rPr>
      </w:pPr>
    </w:p>
    <w:p w14:paraId="738C36ED" w14:textId="77777777" w:rsidR="00DE02CF" w:rsidRDefault="00DE02CF" w:rsidP="00604F8F">
      <w:pPr>
        <w:rPr>
          <w:noProof/>
          <w:sz w:val="18"/>
          <w:szCs w:val="18"/>
          <w:lang w:val="es-ES"/>
        </w:rPr>
      </w:pPr>
    </w:p>
    <w:p w14:paraId="5E018842" w14:textId="77777777" w:rsidR="00DE02CF" w:rsidRPr="00232EBB" w:rsidRDefault="00DE02CF" w:rsidP="00604F8F">
      <w:pPr>
        <w:rPr>
          <w:b/>
          <w:sz w:val="18"/>
          <w:szCs w:val="18"/>
          <w:lang w:val="es-MX"/>
        </w:rPr>
      </w:pPr>
    </w:p>
    <w:p w14:paraId="19F1F8E1" w14:textId="4C204EDF" w:rsidR="004668C8" w:rsidRPr="00232EBB" w:rsidRDefault="004668C8" w:rsidP="004668C8">
      <w:pPr>
        <w:pStyle w:val="Heading1"/>
        <w:jc w:val="both"/>
        <w:rPr>
          <w:rFonts w:cs="Times New Roman"/>
          <w:bCs/>
          <w:color w:val="808080" w:themeColor="background1" w:themeShade="80"/>
          <w:sz w:val="24"/>
          <w:szCs w:val="24"/>
          <w:lang w:val="es-MX"/>
        </w:rPr>
      </w:pPr>
      <w:bookmarkStart w:id="119" w:name="_Toc216952227"/>
      <w:r w:rsidRPr="00232EBB">
        <w:rPr>
          <w:rFonts w:cs="Times New Roman"/>
          <w:bCs/>
          <w:color w:val="808080" w:themeColor="background1" w:themeShade="80"/>
          <w:sz w:val="24"/>
          <w:szCs w:val="24"/>
          <w:lang w:val="es-MX"/>
        </w:rPr>
        <w:lastRenderedPageBreak/>
        <w:t>Gestión Documental.</w:t>
      </w:r>
      <w:bookmarkEnd w:id="119"/>
    </w:p>
    <w:p w14:paraId="72E58C21" w14:textId="77777777" w:rsidR="004668C8" w:rsidRPr="00232EBB" w:rsidRDefault="004668C8" w:rsidP="004668C8">
      <w:pPr>
        <w:spacing w:line="360" w:lineRule="auto"/>
        <w:jc w:val="both"/>
        <w:rPr>
          <w:rFonts w:eastAsia="Calibri"/>
          <w:noProof/>
          <w:color w:val="808080" w:themeColor="background1" w:themeShade="80"/>
          <w:lang w:val="es-MX"/>
        </w:rPr>
      </w:pPr>
      <w:r w:rsidRPr="00232EBB">
        <w:rPr>
          <w:rFonts w:eastAsia="Calibri"/>
          <w:noProof/>
          <w:color w:val="808080" w:themeColor="background1" w:themeShade="80"/>
          <w:lang w:val="es-MX"/>
        </w:rPr>
        <w:t xml:space="preserve">Con el enfoque estratégico de automatizar y digitalizar los procesos internos se ha logrado fortalecer las actividades del área de Gestión Documental. </w:t>
      </w:r>
    </w:p>
    <w:p w14:paraId="6B3DB743" w14:textId="77777777" w:rsidR="004668C8" w:rsidRPr="00232EBB" w:rsidRDefault="004668C8" w:rsidP="004668C8">
      <w:pPr>
        <w:spacing w:line="360" w:lineRule="auto"/>
        <w:jc w:val="both"/>
        <w:rPr>
          <w:rFonts w:eastAsia="Calibri"/>
          <w:noProof/>
          <w:color w:val="808080" w:themeColor="background1" w:themeShade="80"/>
          <w:lang w:val="es-MX"/>
        </w:rPr>
      </w:pPr>
      <w:r w:rsidRPr="00232EBB">
        <w:rPr>
          <w:rFonts w:eastAsia="Calibri"/>
          <w:noProof/>
          <w:color w:val="808080" w:themeColor="background1" w:themeShade="80"/>
          <w:lang w:val="es-MX"/>
        </w:rPr>
        <w:t xml:space="preserve">Gracias a la digitalización de cada expediente, </w:t>
      </w:r>
      <w:r w:rsidRPr="00232EBB">
        <w:rPr>
          <w:rFonts w:eastAsia="Calibri"/>
          <w:noProof/>
          <w:color w:val="7F7F7F" w:themeColor="text1" w:themeTint="80"/>
          <w:lang w:val="es-MX"/>
        </w:rPr>
        <w:t xml:space="preserve">se han mantenido reducidas las solicitudes de préstamos de documentos físicos, teniendo solo (4) solicitudes en el año 2025. </w:t>
      </w:r>
      <w:r w:rsidRPr="00232EBB">
        <w:rPr>
          <w:rFonts w:eastAsia="Calibri"/>
          <w:noProof/>
          <w:color w:val="808080" w:themeColor="background1" w:themeShade="80"/>
          <w:lang w:val="es-MX"/>
        </w:rPr>
        <w:t>Esto contribuye en minimizar riesgos de extravío, optimizar tiempos de respuesta y ha tenido un impacto económico considerable ya que cada solicitud tradicional implicaba un pago al proveedor externo un costo aproximado de RD$1,365.26.</w:t>
      </w:r>
    </w:p>
    <w:p w14:paraId="39AC671F" w14:textId="77777777" w:rsidR="004668C8" w:rsidRPr="00232EBB" w:rsidRDefault="004668C8" w:rsidP="004668C8">
      <w:pPr>
        <w:spacing w:line="360" w:lineRule="auto"/>
        <w:jc w:val="both"/>
        <w:rPr>
          <w:rFonts w:eastAsia="Calibri"/>
          <w:noProof/>
          <w:color w:val="808080" w:themeColor="background1" w:themeShade="80"/>
          <w:lang w:val="es-MX"/>
        </w:rPr>
      </w:pPr>
      <w:r w:rsidRPr="00232EBB">
        <w:rPr>
          <w:rFonts w:eastAsia="Calibri"/>
          <w:noProof/>
          <w:color w:val="808080" w:themeColor="background1" w:themeShade="80"/>
          <w:lang w:val="es-MX"/>
        </w:rPr>
        <w:t>Es importante aclarar que estas cuatro (4) solicitudes del año 2025 no corresponden a gestión interna, sino que fueron requeridas exclusivamente por tribunales, los cuales exigen de manera estricta la presentación de documentos en formato original, siendo esta la única razón por la que fue necesario el préstamo físico.</w:t>
      </w:r>
    </w:p>
    <w:p w14:paraId="25FCEBC0" w14:textId="77777777" w:rsidR="004668C8" w:rsidRPr="00232EBB" w:rsidRDefault="004668C8" w:rsidP="004668C8">
      <w:pPr>
        <w:spacing w:line="360" w:lineRule="auto"/>
        <w:jc w:val="center"/>
        <w:rPr>
          <w:rFonts w:eastAsia="Calibri"/>
          <w:noProof/>
          <w:color w:val="808080" w:themeColor="background1" w:themeShade="80"/>
          <w:sz w:val="22"/>
          <w:szCs w:val="22"/>
        </w:rPr>
      </w:pPr>
      <w:r w:rsidRPr="00232EBB">
        <w:rPr>
          <w:noProof/>
        </w:rPr>
        <w:drawing>
          <wp:inline distT="0" distB="0" distL="0" distR="0" wp14:anchorId="1813AA44" wp14:editId="75A9E2D2">
            <wp:extent cx="4467225" cy="1774209"/>
            <wp:effectExtent l="0" t="0" r="0" b="0"/>
            <wp:docPr id="646323858" name="Gráfico 1">
              <a:extLst xmlns:a="http://schemas.openxmlformats.org/drawingml/2006/main">
                <a:ext uri="{FF2B5EF4-FFF2-40B4-BE49-F238E27FC236}">
                  <a16:creationId xmlns:a16="http://schemas.microsoft.com/office/drawing/2014/main" id="{01F6617C-3146-9451-14E7-7CCDC9026A7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2ECF645" w14:textId="0B42CEBA" w:rsidR="004668C8" w:rsidRPr="00232EBB" w:rsidRDefault="004668C8" w:rsidP="004668C8">
      <w:pPr>
        <w:spacing w:line="360" w:lineRule="auto"/>
        <w:jc w:val="center"/>
        <w:rPr>
          <w:rFonts w:eastAsia="Calibri"/>
          <w:noProof/>
          <w:color w:val="808080" w:themeColor="background1" w:themeShade="80"/>
          <w:sz w:val="18"/>
          <w:szCs w:val="18"/>
          <w:lang w:val="es-MX"/>
        </w:rPr>
      </w:pPr>
      <w:r w:rsidRPr="00232EBB">
        <w:rPr>
          <w:rFonts w:eastAsia="Calibri"/>
          <w:b/>
          <w:bCs/>
          <w:noProof/>
          <w:color w:val="808080" w:themeColor="background1" w:themeShade="80"/>
          <w:sz w:val="18"/>
          <w:szCs w:val="18"/>
          <w:lang w:val="es-MX"/>
        </w:rPr>
        <w:t xml:space="preserve">Gráfico </w:t>
      </w:r>
      <w:r w:rsidR="000743EE" w:rsidRPr="00232EBB">
        <w:rPr>
          <w:rFonts w:eastAsia="Calibri"/>
          <w:b/>
          <w:bCs/>
          <w:noProof/>
          <w:color w:val="808080" w:themeColor="background1" w:themeShade="80"/>
          <w:sz w:val="18"/>
          <w:szCs w:val="18"/>
          <w:lang w:val="es-MX"/>
        </w:rPr>
        <w:t>12</w:t>
      </w:r>
      <w:r w:rsidRPr="00232EBB">
        <w:rPr>
          <w:rFonts w:eastAsia="Calibri"/>
          <w:noProof/>
          <w:color w:val="808080" w:themeColor="background1" w:themeShade="80"/>
          <w:sz w:val="18"/>
          <w:szCs w:val="18"/>
          <w:lang w:val="es-MX"/>
        </w:rPr>
        <w:t>: Comparativa de solicitudes de préstamos de documentos físicos.</w:t>
      </w:r>
    </w:p>
    <w:p w14:paraId="07B0A6E3" w14:textId="77777777" w:rsidR="004668C8" w:rsidRPr="00232EBB" w:rsidRDefault="004668C8" w:rsidP="004668C8">
      <w:pPr>
        <w:spacing w:line="360" w:lineRule="auto"/>
        <w:jc w:val="both"/>
        <w:rPr>
          <w:rFonts w:eastAsia="Calibri"/>
          <w:noProof/>
          <w:color w:val="808080" w:themeColor="background1" w:themeShade="80"/>
          <w:lang w:val="es-MX"/>
        </w:rPr>
      </w:pPr>
      <w:r w:rsidRPr="00232EBB">
        <w:rPr>
          <w:rFonts w:eastAsia="Calibri"/>
          <w:noProof/>
          <w:color w:val="808080" w:themeColor="background1" w:themeShade="80"/>
          <w:lang w:val="es-MX"/>
        </w:rPr>
        <w:t>También se logró que el 100% de ls auditorías internas fueran realizadas mediante la consulta de documentos digitales. Facilitando el acceso simultáneo de varios usuarios a los documentos.</w:t>
      </w:r>
    </w:p>
    <w:p w14:paraId="1EFF02A5" w14:textId="77777777" w:rsidR="004668C8" w:rsidRPr="00232EBB" w:rsidRDefault="004668C8" w:rsidP="004668C8">
      <w:pPr>
        <w:spacing w:line="360" w:lineRule="auto"/>
        <w:jc w:val="both"/>
        <w:rPr>
          <w:rFonts w:eastAsia="Calibri"/>
          <w:noProof/>
          <w:color w:val="808080" w:themeColor="background1" w:themeShade="80"/>
          <w:lang w:val="es-MX"/>
        </w:rPr>
      </w:pPr>
      <w:r w:rsidRPr="00232EBB">
        <w:rPr>
          <w:rFonts w:eastAsia="Calibri"/>
          <w:noProof/>
          <w:color w:val="808080" w:themeColor="background1" w:themeShade="80"/>
          <w:lang w:val="es-MX"/>
        </w:rPr>
        <w:t xml:space="preserve">Mediante el uso de un nuevo software de gestión documental (ProDoctivity), se ha eliminado procesos manuales y el uso de </w:t>
      </w:r>
      <w:r w:rsidRPr="00232EBB">
        <w:rPr>
          <w:rFonts w:eastAsia="Calibri"/>
          <w:noProof/>
          <w:color w:val="808080" w:themeColor="background1" w:themeShade="80"/>
          <w:lang w:val="es-MX"/>
        </w:rPr>
        <w:lastRenderedPageBreak/>
        <w:t xml:space="preserve">formularios fisícos, mejorando el control, trazabilidad y eficiencia en el manejo de los documentos. </w:t>
      </w:r>
    </w:p>
    <w:p w14:paraId="381545EA" w14:textId="77777777" w:rsidR="004668C8" w:rsidRPr="00232EBB" w:rsidRDefault="004668C8" w:rsidP="004668C8">
      <w:pPr>
        <w:spacing w:line="360" w:lineRule="auto"/>
        <w:jc w:val="both"/>
        <w:rPr>
          <w:rFonts w:eastAsia="Calibri"/>
          <w:noProof/>
          <w:color w:val="7F7F7F" w:themeColor="text1" w:themeTint="80"/>
          <w:lang w:val="es-MX"/>
        </w:rPr>
      </w:pPr>
      <w:r w:rsidRPr="00232EBB">
        <w:rPr>
          <w:rFonts w:eastAsia="Calibri"/>
          <w:noProof/>
          <w:color w:val="7F7F7F" w:themeColor="text1" w:themeTint="80"/>
          <w:lang w:val="es-MX"/>
        </w:rPr>
        <w:t>Se capacitó el 90% del personal del área de Gestión Documental logrando aumentar las competencias y profesionalismo en cuanto a procedimientos archivísticos.</w:t>
      </w:r>
    </w:p>
    <w:p w14:paraId="4E51D863" w14:textId="77777777" w:rsidR="004668C8" w:rsidRPr="00232EBB" w:rsidRDefault="004668C8" w:rsidP="004668C8">
      <w:pPr>
        <w:spacing w:line="360" w:lineRule="auto"/>
        <w:jc w:val="both"/>
        <w:rPr>
          <w:rFonts w:eastAsia="Calibri"/>
          <w:noProof/>
          <w:color w:val="7F7F7F" w:themeColor="text1" w:themeTint="80"/>
          <w:lang w:val="es-MX"/>
        </w:rPr>
      </w:pPr>
      <w:r w:rsidRPr="00232EBB">
        <w:rPr>
          <w:rFonts w:eastAsia="Calibri"/>
          <w:noProof/>
          <w:color w:val="7F7F7F" w:themeColor="text1" w:themeTint="80"/>
          <w:lang w:val="es-MX"/>
        </w:rPr>
        <w:t>Se ha cumplido con el 99% del calendario de transferencias documentales, mostrando una mejora constante en los procesos y planes realizados en el área.</w:t>
      </w:r>
    </w:p>
    <w:p w14:paraId="34E71B38" w14:textId="77777777" w:rsidR="004668C8" w:rsidRPr="00232EBB" w:rsidRDefault="004668C8" w:rsidP="004668C8">
      <w:pPr>
        <w:spacing w:line="360" w:lineRule="auto"/>
        <w:jc w:val="both"/>
        <w:rPr>
          <w:rFonts w:eastAsia="Calibri"/>
          <w:noProof/>
          <w:color w:val="7F7F7F" w:themeColor="text1" w:themeTint="80"/>
          <w:sz w:val="22"/>
          <w:szCs w:val="22"/>
        </w:rPr>
      </w:pPr>
      <w:r w:rsidRPr="00232EBB">
        <w:rPr>
          <w:noProof/>
        </w:rPr>
        <w:drawing>
          <wp:inline distT="0" distB="0" distL="0" distR="0" wp14:anchorId="1D7C1E5D" wp14:editId="6E861883">
            <wp:extent cx="4572000" cy="2743200"/>
            <wp:effectExtent l="0" t="0" r="0" b="0"/>
            <wp:docPr id="1889768487" name="Gráfico 1">
              <a:extLst xmlns:a="http://schemas.openxmlformats.org/drawingml/2006/main">
                <a:ext uri="{FF2B5EF4-FFF2-40B4-BE49-F238E27FC236}">
                  <a16:creationId xmlns:a16="http://schemas.microsoft.com/office/drawing/2014/main" id="{1C861594-F096-0A00-7F63-1C11798F78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10BF13D" w14:textId="42148BFA" w:rsidR="004668C8" w:rsidRPr="00232EBB" w:rsidRDefault="004668C8" w:rsidP="004668C8">
      <w:pPr>
        <w:spacing w:line="360" w:lineRule="auto"/>
        <w:jc w:val="center"/>
        <w:rPr>
          <w:rFonts w:eastAsia="Calibri"/>
          <w:noProof/>
          <w:color w:val="808080" w:themeColor="background1" w:themeShade="80"/>
          <w:sz w:val="18"/>
          <w:szCs w:val="18"/>
          <w:lang w:val="es-MX"/>
        </w:rPr>
      </w:pPr>
      <w:r w:rsidRPr="00232EBB">
        <w:rPr>
          <w:rFonts w:eastAsia="Calibri"/>
          <w:b/>
          <w:bCs/>
          <w:noProof/>
          <w:color w:val="808080" w:themeColor="background1" w:themeShade="80"/>
          <w:sz w:val="18"/>
          <w:szCs w:val="18"/>
          <w:lang w:val="es-MX"/>
        </w:rPr>
        <w:t xml:space="preserve">Grafico </w:t>
      </w:r>
      <w:r w:rsidR="000743EE" w:rsidRPr="00232EBB">
        <w:rPr>
          <w:rFonts w:eastAsia="Calibri"/>
          <w:b/>
          <w:bCs/>
          <w:noProof/>
          <w:color w:val="808080" w:themeColor="background1" w:themeShade="80"/>
          <w:sz w:val="18"/>
          <w:szCs w:val="18"/>
          <w:lang w:val="es-MX"/>
        </w:rPr>
        <w:t>13</w:t>
      </w:r>
      <w:r w:rsidRPr="00232EBB">
        <w:rPr>
          <w:rFonts w:eastAsia="Calibri"/>
          <w:noProof/>
          <w:color w:val="808080" w:themeColor="background1" w:themeShade="80"/>
          <w:sz w:val="18"/>
          <w:szCs w:val="18"/>
          <w:lang w:val="es-MX"/>
        </w:rPr>
        <w:t>: Comparativa del cumplimiento del calendario de transferencia.</w:t>
      </w:r>
    </w:p>
    <w:p w14:paraId="427F508F" w14:textId="77777777" w:rsidR="004668C8" w:rsidRPr="00232EBB" w:rsidRDefault="004668C8" w:rsidP="004668C8">
      <w:pPr>
        <w:spacing w:line="360" w:lineRule="auto"/>
        <w:jc w:val="both"/>
        <w:rPr>
          <w:rFonts w:eastAsia="Calibri"/>
          <w:noProof/>
          <w:color w:val="808080" w:themeColor="background1" w:themeShade="80"/>
          <w:lang w:val="es-MX"/>
        </w:rPr>
      </w:pPr>
      <w:r w:rsidRPr="00232EBB">
        <w:rPr>
          <w:rFonts w:eastAsia="Calibri"/>
          <w:noProof/>
          <w:color w:val="808080" w:themeColor="background1" w:themeShade="80"/>
          <w:lang w:val="es-MX"/>
        </w:rPr>
        <w:t>Con la actualización de la resolución  Institucional 04-25 que crea el Sistema Institucional de Archivo y la Comisión de Evaluación Institucional se garantiza el cumplimiento de la normativa archivística vigente.</w:t>
      </w:r>
    </w:p>
    <w:p w14:paraId="294259E3" w14:textId="77777777" w:rsidR="004668C8" w:rsidRPr="00232EBB" w:rsidRDefault="004668C8" w:rsidP="004668C8">
      <w:pPr>
        <w:spacing w:line="360" w:lineRule="auto"/>
        <w:jc w:val="both"/>
        <w:rPr>
          <w:rFonts w:eastAsia="Calibri"/>
          <w:noProof/>
          <w:color w:val="808080" w:themeColor="background1" w:themeShade="80"/>
          <w:lang w:val="es-MX"/>
        </w:rPr>
      </w:pPr>
      <w:r w:rsidRPr="00232EBB">
        <w:rPr>
          <w:rFonts w:eastAsia="Calibri"/>
          <w:noProof/>
          <w:color w:val="808080" w:themeColor="background1" w:themeShade="80"/>
          <w:lang w:val="es-MX"/>
        </w:rPr>
        <w:t xml:space="preserve">En la nueva resolución, se establece una estructura funcional, participativa y transparente, otorgando a la Comisión un rol más activo, técnico y efectivo en los procesos de valoración, depuración y control documental. Este avance asegura una mayor institucionalidad, continuidad y eficiencia en la toma de decisiones </w:t>
      </w:r>
      <w:r w:rsidRPr="00232EBB">
        <w:rPr>
          <w:rFonts w:eastAsia="Calibri"/>
          <w:noProof/>
          <w:color w:val="808080" w:themeColor="background1" w:themeShade="80"/>
          <w:lang w:val="es-MX"/>
        </w:rPr>
        <w:lastRenderedPageBreak/>
        <w:t>relacionadas con la gestión y preservación del patrimonio documental.</w:t>
      </w:r>
    </w:p>
    <w:p w14:paraId="08AAAED1" w14:textId="7B30B6EF" w:rsidR="004668C8" w:rsidRPr="00232EBB" w:rsidRDefault="004668C8" w:rsidP="004668C8">
      <w:pPr>
        <w:spacing w:before="240" w:after="0" w:line="360" w:lineRule="auto"/>
        <w:ind w:right="-180"/>
        <w:jc w:val="both"/>
        <w:rPr>
          <w:rFonts w:eastAsia="Calibri"/>
          <w:b/>
          <w:bCs/>
          <w:noProof/>
          <w:color w:val="7F7F7F" w:themeColor="text1" w:themeTint="80"/>
          <w:lang w:val="es-MX"/>
        </w:rPr>
      </w:pPr>
      <w:r w:rsidRPr="00232EBB">
        <w:rPr>
          <w:rFonts w:eastAsia="Calibri"/>
          <w:b/>
          <w:bCs/>
          <w:noProof/>
          <w:color w:val="7F7F7F" w:themeColor="text1" w:themeTint="80"/>
          <w:lang w:val="es-MX"/>
        </w:rPr>
        <w:t>Mejora en  los espacios físicos a nivel institucional</w:t>
      </w:r>
    </w:p>
    <w:p w14:paraId="17014E49" w14:textId="77777777" w:rsidR="004668C8" w:rsidRPr="00232EBB" w:rsidRDefault="004668C8" w:rsidP="00836944">
      <w:pPr>
        <w:spacing w:line="360" w:lineRule="auto"/>
        <w:ind w:right="-180"/>
        <w:jc w:val="both"/>
        <w:rPr>
          <w:rFonts w:eastAsia="Calibri"/>
          <w:noProof/>
          <w:color w:val="808080" w:themeColor="background1" w:themeShade="80"/>
          <w:lang w:val="es-MX"/>
        </w:rPr>
      </w:pPr>
      <w:r w:rsidRPr="00232EBB">
        <w:rPr>
          <w:rFonts w:eastAsia="Calibri"/>
          <w:noProof/>
          <w:color w:val="808080" w:themeColor="background1" w:themeShade="80"/>
          <w:lang w:val="es-MX"/>
        </w:rPr>
        <w:t xml:space="preserve">A la par con el crecimiento de las operaciones institucionales y atendiendo a la mejora y ampliación de los espacios físicos de nuestra institución, se concluyó la adecuación del segundo nivel de la sede GMR y se trasladó la Dirección de Tecnologías de la Información y Comunicaciones. También se readecuó el segundo y tercer nivel de la Torre de la Seguridad Social y se reubicó la Dirección Financiera y la Dirección de Normas Cumplimiento y Ciberseguridad. </w:t>
      </w:r>
    </w:p>
    <w:p w14:paraId="28250F80" w14:textId="77777777" w:rsidR="004668C8" w:rsidRPr="00232EBB" w:rsidRDefault="004668C8" w:rsidP="00836944">
      <w:pPr>
        <w:spacing w:line="360" w:lineRule="auto"/>
        <w:ind w:right="-180"/>
        <w:jc w:val="both"/>
        <w:rPr>
          <w:rFonts w:eastAsia="Calibri"/>
          <w:noProof/>
          <w:color w:val="808080" w:themeColor="background1" w:themeShade="80"/>
          <w:lang w:val="es-MX"/>
        </w:rPr>
      </w:pPr>
      <w:r w:rsidRPr="00232EBB">
        <w:rPr>
          <w:rFonts w:eastAsia="Calibri"/>
          <w:noProof/>
          <w:color w:val="808080" w:themeColor="background1" w:themeShade="80"/>
          <w:lang w:val="es-MX"/>
        </w:rPr>
        <w:t>Se habilitó un mayor espacio físico para el área de almacén con mejores controles de acceso y seguridad para garantizar el resguardo adecuado de materiales gastables e insumos.</w:t>
      </w:r>
    </w:p>
    <w:p w14:paraId="30D07831" w14:textId="77777777" w:rsidR="004668C8" w:rsidRPr="00232EBB" w:rsidRDefault="004668C8" w:rsidP="00836944">
      <w:pPr>
        <w:spacing w:line="360" w:lineRule="auto"/>
        <w:ind w:right="-180"/>
        <w:jc w:val="both"/>
        <w:rPr>
          <w:rFonts w:eastAsia="Calibri"/>
          <w:noProof/>
          <w:color w:val="808080" w:themeColor="background1" w:themeShade="80"/>
          <w:lang w:val="es-MX"/>
        </w:rPr>
      </w:pPr>
      <w:r w:rsidRPr="00232EBB">
        <w:rPr>
          <w:rFonts w:eastAsia="Calibri"/>
          <w:noProof/>
          <w:color w:val="808080" w:themeColor="background1" w:themeShade="80"/>
          <w:lang w:val="es-MX"/>
        </w:rPr>
        <w:t>Estas readecuaciones estan alineadas a nuestro eje estratégico de gobernanza y excelencia operativa. Garantizando con estas un clima laboral positivo, con una cultura de trabajo en equipo y mejoras de procesos.</w:t>
      </w:r>
    </w:p>
    <w:p w14:paraId="489FCFB5" w14:textId="77777777" w:rsidR="004668C8" w:rsidRPr="00232EBB" w:rsidRDefault="004668C8" w:rsidP="0038526E">
      <w:pPr>
        <w:spacing w:line="360" w:lineRule="auto"/>
        <w:ind w:right="-180"/>
        <w:jc w:val="both"/>
        <w:rPr>
          <w:rFonts w:eastAsia="Calibri"/>
          <w:noProof/>
          <w:color w:val="808080" w:themeColor="background1" w:themeShade="80"/>
          <w:lang w:val="es-MX"/>
        </w:rPr>
      </w:pPr>
      <w:r w:rsidRPr="00232EBB">
        <w:rPr>
          <w:rFonts w:eastAsia="Calibri"/>
          <w:noProof/>
          <w:color w:val="808080" w:themeColor="background1" w:themeShade="80"/>
          <w:lang w:val="es-MX"/>
        </w:rPr>
        <w:t>Se fortaleció la gestión del área de Servicios Generales con la implementación del aplicativo desarrollado por la Dirección de Tecnologia de la Información y Comunicaciones. Este aplicativo ha ayudado con la automatización de la planificación y seguimiento de las actividades del área, logrando así un mejor control de los procesos, eliminar el uso de 3 formularios de uso diarios y semanales, evitando así errores humanos por procesos manuales.</w:t>
      </w:r>
    </w:p>
    <w:p w14:paraId="35F03FC7" w14:textId="77777777" w:rsidR="004668C8" w:rsidRPr="00232EBB" w:rsidRDefault="004668C8" w:rsidP="0038526E">
      <w:pPr>
        <w:spacing w:line="360" w:lineRule="auto"/>
        <w:ind w:right="-180"/>
        <w:jc w:val="both"/>
        <w:rPr>
          <w:rFonts w:eastAsia="Calibri"/>
          <w:noProof/>
          <w:color w:val="808080" w:themeColor="background1" w:themeShade="80"/>
          <w:lang w:val="es-MX"/>
        </w:rPr>
      </w:pPr>
      <w:r w:rsidRPr="00232EBB">
        <w:rPr>
          <w:rFonts w:eastAsia="Calibri"/>
          <w:noProof/>
          <w:color w:val="808080" w:themeColor="background1" w:themeShade="80"/>
          <w:lang w:val="es-MX"/>
        </w:rPr>
        <w:t xml:space="preserve">El uso del aplicativo más la reorganización del área de mantenimiento contribuyó con una mejor gestión de los indicadores, cumpliendo con el plan de mantenimiento preventivo y con las solicitudes de mantenimiento correctivo, logrando así una ponderación de 95.62% en la satifacción de los servicios brindados a los usuarios internos. </w:t>
      </w:r>
    </w:p>
    <w:p w14:paraId="1D822989" w14:textId="13F82B27" w:rsidR="00771010" w:rsidRPr="00232EBB" w:rsidRDefault="004668C8" w:rsidP="0038526E">
      <w:pPr>
        <w:spacing w:line="360" w:lineRule="auto"/>
        <w:ind w:right="-180"/>
        <w:jc w:val="both"/>
        <w:rPr>
          <w:b/>
          <w:bCs/>
          <w:lang w:val="es-ES"/>
        </w:rPr>
      </w:pPr>
      <w:r w:rsidRPr="00232EBB">
        <w:rPr>
          <w:rFonts w:eastAsia="Calibri"/>
          <w:noProof/>
          <w:color w:val="808080" w:themeColor="background1" w:themeShade="80"/>
          <w:sz w:val="22"/>
          <w:szCs w:val="22"/>
          <w:lang w:val="es-MX"/>
        </w:rPr>
        <w:lastRenderedPageBreak/>
        <w:t xml:space="preserve"> </w:t>
      </w:r>
      <w:bookmarkEnd w:id="117"/>
      <w:r w:rsidR="1F7F16AD" w:rsidRPr="00232EBB">
        <w:rPr>
          <w:b/>
          <w:bCs/>
          <w:noProof/>
          <w:lang w:val="es-DO"/>
        </w:rPr>
        <w:t>Gestión Financiera</w:t>
      </w:r>
    </w:p>
    <w:p w14:paraId="2C64F0F8" w14:textId="21553F63" w:rsidR="00771010" w:rsidRPr="00232EBB" w:rsidRDefault="13E88E60" w:rsidP="0038526E">
      <w:pPr>
        <w:spacing w:line="360" w:lineRule="auto"/>
        <w:ind w:right="-180"/>
        <w:jc w:val="both"/>
        <w:rPr>
          <w:rFonts w:eastAsia="Calibri"/>
          <w:noProof/>
          <w:color w:val="808080" w:themeColor="background1" w:themeShade="80"/>
          <w:lang w:val="es-MX"/>
        </w:rPr>
      </w:pPr>
      <w:r w:rsidRPr="00232EBB">
        <w:rPr>
          <w:rFonts w:eastAsia="Calibri"/>
          <w:noProof/>
          <w:color w:val="808080" w:themeColor="background1" w:themeShade="80"/>
          <w:lang w:val="es-MX"/>
        </w:rPr>
        <w:t>A trav</w:t>
      </w:r>
      <w:r w:rsidR="0B016270" w:rsidRPr="00232EBB">
        <w:rPr>
          <w:rFonts w:eastAsia="Calibri"/>
          <w:noProof/>
          <w:color w:val="808080" w:themeColor="background1" w:themeShade="80"/>
          <w:lang w:val="es-MX"/>
        </w:rPr>
        <w:t>é</w:t>
      </w:r>
      <w:r w:rsidRPr="00232EBB">
        <w:rPr>
          <w:rFonts w:eastAsia="Calibri"/>
          <w:noProof/>
          <w:color w:val="808080" w:themeColor="background1" w:themeShade="80"/>
          <w:lang w:val="es-MX"/>
        </w:rPr>
        <w:t>s de la</w:t>
      </w:r>
      <w:r w:rsidR="414702C9" w:rsidRPr="00232EBB">
        <w:rPr>
          <w:rFonts w:eastAsia="Calibri"/>
          <w:noProof/>
          <w:color w:val="808080" w:themeColor="background1" w:themeShade="80"/>
          <w:lang w:val="es-MX"/>
        </w:rPr>
        <w:t xml:space="preserve"> gesti</w:t>
      </w:r>
      <w:r w:rsidR="7CEB5A3F" w:rsidRPr="00232EBB">
        <w:rPr>
          <w:rFonts w:eastAsia="Calibri"/>
          <w:noProof/>
          <w:color w:val="808080" w:themeColor="background1" w:themeShade="80"/>
          <w:lang w:val="es-MX"/>
        </w:rPr>
        <w:t>ó</w:t>
      </w:r>
      <w:r w:rsidR="414702C9" w:rsidRPr="00232EBB">
        <w:rPr>
          <w:rFonts w:eastAsia="Calibri"/>
          <w:noProof/>
          <w:color w:val="808080" w:themeColor="background1" w:themeShade="80"/>
          <w:lang w:val="es-MX"/>
        </w:rPr>
        <w:t xml:space="preserve">n de </w:t>
      </w:r>
      <w:r w:rsidR="4F733467" w:rsidRPr="00232EBB">
        <w:rPr>
          <w:rFonts w:eastAsia="Calibri"/>
          <w:noProof/>
          <w:color w:val="808080" w:themeColor="background1" w:themeShade="80"/>
          <w:lang w:val="es-MX"/>
        </w:rPr>
        <w:t>l</w:t>
      </w:r>
      <w:r w:rsidR="5BD01C7E" w:rsidRPr="00232EBB">
        <w:rPr>
          <w:rFonts w:eastAsia="Calibri"/>
          <w:noProof/>
          <w:color w:val="808080" w:themeColor="background1" w:themeShade="80"/>
          <w:lang w:val="es-MX"/>
        </w:rPr>
        <w:t xml:space="preserve">a Dirección </w:t>
      </w:r>
      <w:r w:rsidR="027A3CF3" w:rsidRPr="00232EBB">
        <w:rPr>
          <w:rFonts w:eastAsia="Calibri"/>
          <w:noProof/>
          <w:color w:val="808080" w:themeColor="background1" w:themeShade="80"/>
          <w:lang w:val="es-MX"/>
        </w:rPr>
        <w:t>F</w:t>
      </w:r>
      <w:r w:rsidR="5BD01C7E" w:rsidRPr="00232EBB">
        <w:rPr>
          <w:rFonts w:eastAsia="Calibri"/>
          <w:noProof/>
          <w:color w:val="808080" w:themeColor="background1" w:themeShade="80"/>
          <w:lang w:val="es-MX"/>
        </w:rPr>
        <w:t>inanciera</w:t>
      </w:r>
      <w:r w:rsidR="0FFC0389" w:rsidRPr="00232EBB">
        <w:rPr>
          <w:rFonts w:eastAsia="Calibri"/>
          <w:noProof/>
          <w:color w:val="808080" w:themeColor="background1" w:themeShade="80"/>
          <w:lang w:val="es-MX"/>
        </w:rPr>
        <w:t>, la TSS</w:t>
      </w:r>
      <w:r w:rsidR="5BD01C7E" w:rsidRPr="00232EBB">
        <w:rPr>
          <w:rFonts w:eastAsia="Calibri"/>
          <w:noProof/>
          <w:color w:val="808080" w:themeColor="background1" w:themeShade="80"/>
          <w:lang w:val="es-MX"/>
        </w:rPr>
        <w:t xml:space="preserve"> ha logrado cumplir con sus metas en cuanto a las recaudaciones y pagos se refiere. </w:t>
      </w:r>
    </w:p>
    <w:p w14:paraId="1AEEB54B" w14:textId="68F01E85"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 xml:space="preserve">Preparación y remisión oportuna de Estados Financieros.  </w:t>
      </w:r>
    </w:p>
    <w:p w14:paraId="42273D11" w14:textId="2D7B2967"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 xml:space="preserve">Preparación de libramientos de pagos oportunamente.  </w:t>
      </w:r>
    </w:p>
    <w:p w14:paraId="6A17BC43" w14:textId="791B7597"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Ejecución Presupuestaria preparada acorde con lo requerido por DIGEPRES.</w:t>
      </w:r>
    </w:p>
    <w:p w14:paraId="05599E49" w14:textId="06FB7DF3"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Devolución de Fondos No Utilizados a los empleadores, recibidos a través de las diferentes entidades bancarias.</w:t>
      </w:r>
    </w:p>
    <w:p w14:paraId="7B55A5FF" w14:textId="50206CD1"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Devolución de los pagos en exceso y Percápitas adicionales a los empleadores y trabajadores a través de transferencias bancarias y cheques.</w:t>
      </w:r>
    </w:p>
    <w:p w14:paraId="46CC5B55" w14:textId="6B87B465"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Devolución Subsidios de Enfermedad y Maternidad Común del Banco Central de la Rep. Dom.</w:t>
      </w:r>
    </w:p>
    <w:p w14:paraId="05BA571F" w14:textId="6E73CCE1"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Devolución de Pagos en Exceso del Seguro Familiar de Salud de las Instituciones Gubernamentales.</w:t>
      </w:r>
    </w:p>
    <w:p w14:paraId="5015F039" w14:textId="03E47547"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Pago de las Notificaciones de la TSS a Instituciones Centralizadas y Descentralizadas del Estado registrado en el Sistema Integrado de Gestión Financiera (SIGEF)</w:t>
      </w:r>
    </w:p>
    <w:p w14:paraId="57D9E32A" w14:textId="290A1C17"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Pago a los receptores de fondos del SDSS a través del BCRD.</w:t>
      </w:r>
    </w:p>
    <w:p w14:paraId="59F0ED70" w14:textId="1D498899"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Pago del Régimen Subsidiado.</w:t>
      </w:r>
    </w:p>
    <w:p w14:paraId="6C59A5DA" w14:textId="6ADF8DA3"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Pago del FONOMAT.</w:t>
      </w:r>
    </w:p>
    <w:p w14:paraId="55191CBC" w14:textId="15B20E69"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Transferencia al SENASA "Proyecto SENASA Cuida de ti"</w:t>
      </w:r>
    </w:p>
    <w:p w14:paraId="3F0E806E" w14:textId="6050C568"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Pago de los Pensionados de Hacienda.</w:t>
      </w:r>
    </w:p>
    <w:p w14:paraId="4D79B46D" w14:textId="38CE604A"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Pago de los Pensionados y Jubilados del Sector Salud.</w:t>
      </w:r>
    </w:p>
    <w:p w14:paraId="366699F1" w14:textId="3A786BDA"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Pago de los Pensionados y Jubilados de la Policía Nacional.</w:t>
      </w:r>
    </w:p>
    <w:p w14:paraId="282DDE8A" w14:textId="574CDAF2"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Pago de los Pensionados y Jubilados de la Fuerzas Armadas.</w:t>
      </w:r>
    </w:p>
    <w:p w14:paraId="52F24A35" w14:textId="1F3BE1A9"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Pago de los Pensionados del Estado Decreto 18-19.</w:t>
      </w:r>
    </w:p>
    <w:p w14:paraId="50E48367" w14:textId="0CD1B0BC"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Pago de la Junta Central Electoral.</w:t>
      </w:r>
      <w:r w:rsidR="00771010" w:rsidRPr="00232EBB">
        <w:rPr>
          <w:rFonts w:ascii="Times New Roman" w:hAnsi="Times New Roman"/>
          <w:noProof/>
          <w:color w:val="808080" w:themeColor="background1" w:themeShade="80"/>
          <w:spacing w:val="20"/>
          <w:sz w:val="24"/>
          <w:szCs w:val="24"/>
          <w:lang w:val="es-MX"/>
        </w:rPr>
        <w:tab/>
      </w:r>
    </w:p>
    <w:p w14:paraId="7C22D025" w14:textId="6375D2C5"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lastRenderedPageBreak/>
        <w:t>Pago Comisión a los Bancos Recaudadores.</w:t>
      </w:r>
    </w:p>
    <w:p w14:paraId="28F275D4" w14:textId="3A23AB6E"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Pago Retención IR-17 a la Dirección General de Impuestos Internos.</w:t>
      </w:r>
    </w:p>
    <w:p w14:paraId="1291E36C" w14:textId="057468F7"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Remisión oportuna del Informe Régimen Contributivo.</w:t>
      </w:r>
    </w:p>
    <w:p w14:paraId="18622CB2" w14:textId="5DEB8294"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Remisión oportuna del Informe del Régimen Subsidiado.</w:t>
      </w:r>
    </w:p>
    <w:p w14:paraId="0C9938D9" w14:textId="2EFD401C"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Remisión oportuna del Informe Régimen Contributivo-Subsidiado (Plan Piloto).</w:t>
      </w:r>
    </w:p>
    <w:p w14:paraId="21D579D6" w14:textId="44912B91"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Remisión Oportuna del Informe Trimestral CNSS</w:t>
      </w:r>
    </w:p>
    <w:p w14:paraId="66D20B71" w14:textId="104138C3"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 xml:space="preserve">Remisión Oportuna de Informe Régimen Contributivo-Subsidiado Trabajadores Domésticos     </w:t>
      </w:r>
    </w:p>
    <w:p w14:paraId="087FEA00" w14:textId="312B5793"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Remisión oportuna del Informe de los Planes Especiales Transitorios de Salud de los Pensionados y Jubilados de Hacienda (Decreto 342), Sector Salud, Policía Nacional, Fuerzas Armadas, Estado Decreto 18-19</w:t>
      </w:r>
    </w:p>
    <w:p w14:paraId="7C9BE524" w14:textId="66CB67DC"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Automatización planilla de Análisis Recaudación -Concentración</w:t>
      </w:r>
    </w:p>
    <w:p w14:paraId="0DF2717E" w14:textId="564746E8" w:rsidR="00771010" w:rsidRPr="00232EBB" w:rsidRDefault="5BD01C7E" w:rsidP="0038526E">
      <w:pPr>
        <w:pStyle w:val="ListParagraph"/>
        <w:numPr>
          <w:ilvl w:val="0"/>
          <w:numId w:val="8"/>
        </w:numPr>
        <w:spacing w:line="360" w:lineRule="auto"/>
        <w:rPr>
          <w:rFonts w:ascii="Times New Roman" w:hAnsi="Times New Roman"/>
          <w:noProof/>
          <w:color w:val="808080" w:themeColor="background1" w:themeShade="80"/>
          <w:spacing w:val="20"/>
          <w:sz w:val="24"/>
          <w:szCs w:val="24"/>
          <w:lang w:val="es-MX"/>
        </w:rPr>
      </w:pPr>
      <w:r w:rsidRPr="00232EBB">
        <w:rPr>
          <w:rFonts w:ascii="Times New Roman" w:hAnsi="Times New Roman"/>
          <w:noProof/>
          <w:color w:val="808080" w:themeColor="background1" w:themeShade="80"/>
          <w:spacing w:val="20"/>
          <w:sz w:val="24"/>
          <w:szCs w:val="24"/>
          <w:lang w:val="es-MX"/>
        </w:rPr>
        <w:t>Automatización Planilla Dispersión ARS Salud y</w:t>
      </w:r>
      <w:r w:rsidR="0047728B" w:rsidRPr="00232EBB">
        <w:rPr>
          <w:rFonts w:ascii="Times New Roman" w:hAnsi="Times New Roman"/>
          <w:noProof/>
          <w:color w:val="808080" w:themeColor="background1" w:themeShade="80"/>
          <w:spacing w:val="20"/>
          <w:sz w:val="24"/>
          <w:szCs w:val="24"/>
          <w:lang w:val="es-MX"/>
        </w:rPr>
        <w:t xml:space="preserve"> FONAMAT </w:t>
      </w:r>
    </w:p>
    <w:p w14:paraId="55675FD6" w14:textId="2791FF43" w:rsidR="00232EBB" w:rsidRPr="00232EBB" w:rsidRDefault="5BD01C7E" w:rsidP="0038526E">
      <w:pPr>
        <w:pStyle w:val="ListParagraph"/>
        <w:numPr>
          <w:ilvl w:val="0"/>
          <w:numId w:val="8"/>
        </w:numPr>
        <w:spacing w:line="360" w:lineRule="auto"/>
        <w:rPr>
          <w:rFonts w:ascii="Times New Roman" w:hAnsi="Times New Roman"/>
          <w:color w:val="767171"/>
          <w:spacing w:val="20"/>
          <w:sz w:val="24"/>
          <w:szCs w:val="24"/>
        </w:rPr>
      </w:pPr>
      <w:r w:rsidRPr="00232EBB">
        <w:rPr>
          <w:rFonts w:ascii="Times New Roman" w:hAnsi="Times New Roman"/>
          <w:noProof/>
          <w:color w:val="808080" w:themeColor="background1" w:themeShade="80"/>
          <w:spacing w:val="20"/>
          <w:sz w:val="24"/>
          <w:szCs w:val="24"/>
          <w:lang w:val="es-MX"/>
        </w:rPr>
        <w:t>Automatización Análisis Especialización de</w:t>
      </w:r>
      <w:r w:rsidRPr="00232EBB">
        <w:rPr>
          <w:rFonts w:ascii="Times New Roman" w:hAnsi="Times New Roman"/>
          <w:color w:val="767171"/>
          <w:spacing w:val="20"/>
          <w:sz w:val="24"/>
          <w:szCs w:val="24"/>
        </w:rPr>
        <w:t xml:space="preserve"> Cuentas Regular</w:t>
      </w:r>
      <w:r w:rsidR="00DB1AE3" w:rsidRPr="00232EBB">
        <w:rPr>
          <w:rFonts w:ascii="Times New Roman" w:hAnsi="Times New Roman"/>
          <w:color w:val="767171"/>
          <w:spacing w:val="20"/>
          <w:sz w:val="24"/>
          <w:szCs w:val="24"/>
        </w:rPr>
        <w:t>.</w:t>
      </w:r>
      <w:r w:rsidRPr="00232EBB">
        <w:rPr>
          <w:rFonts w:ascii="Times New Roman" w:hAnsi="Times New Roman"/>
          <w:color w:val="767171"/>
          <w:spacing w:val="20"/>
          <w:sz w:val="24"/>
          <w:szCs w:val="24"/>
        </w:rPr>
        <w:t xml:space="preserve"> </w:t>
      </w:r>
    </w:p>
    <w:p w14:paraId="26FA78F2" w14:textId="77777777" w:rsidR="00232EBB" w:rsidRPr="00232EBB" w:rsidRDefault="00232EBB">
      <w:pPr>
        <w:rPr>
          <w:rFonts w:eastAsia="Calibri"/>
          <w:lang w:val="es-DO"/>
        </w:rPr>
      </w:pPr>
      <w:r w:rsidRPr="004360F4">
        <w:rPr>
          <w:lang w:val="es-ES"/>
        </w:rPr>
        <w:br w:type="page"/>
      </w:r>
    </w:p>
    <w:p w14:paraId="3DC5017B" w14:textId="03DE3ADE" w:rsidR="00771010" w:rsidRPr="00232EBB" w:rsidRDefault="4AD55B68" w:rsidP="00FF3F4C">
      <w:pPr>
        <w:pStyle w:val="Heading1"/>
        <w:spacing w:after="240" w:line="259" w:lineRule="auto"/>
        <w:jc w:val="left"/>
        <w:rPr>
          <w:rFonts w:cs="Times New Roman"/>
          <w:spacing w:val="0"/>
          <w:lang w:val="es-DO"/>
        </w:rPr>
      </w:pPr>
      <w:bookmarkStart w:id="120" w:name="_Toc154736709"/>
      <w:bookmarkStart w:id="121" w:name="_Toc216952228"/>
      <w:r w:rsidRPr="00232EBB">
        <w:rPr>
          <w:rFonts w:cs="Times New Roman"/>
          <w:spacing w:val="0"/>
          <w:lang w:val="es-DO"/>
        </w:rPr>
        <w:lastRenderedPageBreak/>
        <w:t>4.2 Desempeño de los Recursos Humanos</w:t>
      </w:r>
      <w:bookmarkEnd w:id="120"/>
      <w:bookmarkEnd w:id="121"/>
      <w:r w:rsidRPr="00232EBB">
        <w:rPr>
          <w:rFonts w:cs="Times New Roman"/>
          <w:spacing w:val="0"/>
          <w:lang w:val="es-DO"/>
        </w:rPr>
        <w:t xml:space="preserve"> </w:t>
      </w:r>
    </w:p>
    <w:p w14:paraId="2AAB7A58" w14:textId="77777777" w:rsidR="00EF5D3F" w:rsidRPr="00232EBB" w:rsidRDefault="00EF5D3F" w:rsidP="00CB5570">
      <w:pPr>
        <w:spacing w:before="240" w:after="0" w:line="360" w:lineRule="auto"/>
        <w:ind w:right="-180"/>
        <w:jc w:val="both"/>
        <w:rPr>
          <w:rFonts w:eastAsia="Calibri"/>
          <w:b/>
          <w:bCs/>
          <w:noProof/>
          <w:color w:val="808080" w:themeColor="background1" w:themeShade="80"/>
          <w:lang w:val="es-MX"/>
        </w:rPr>
      </w:pPr>
      <w:bookmarkStart w:id="122" w:name="_Toc216263878"/>
      <w:bookmarkStart w:id="123" w:name="_Hlk216169640"/>
      <w:bookmarkStart w:id="124" w:name="_Hlk215740622"/>
      <w:bookmarkStart w:id="125" w:name="_Toc171677850"/>
      <w:bookmarkStart w:id="126" w:name="_Toc172118707"/>
      <w:bookmarkStart w:id="127" w:name="_Toc172119860"/>
      <w:bookmarkStart w:id="128" w:name="_Toc172120193"/>
      <w:bookmarkStart w:id="129" w:name="_Toc172121411"/>
      <w:bookmarkStart w:id="130" w:name="_Hlk180407693"/>
      <w:bookmarkStart w:id="131" w:name="_Toc139461514"/>
      <w:bookmarkStart w:id="132" w:name="_Toc140587651"/>
      <w:bookmarkStart w:id="133" w:name="_Toc172121424"/>
      <w:bookmarkStart w:id="134" w:name="_Toc171677876"/>
      <w:bookmarkStart w:id="135" w:name="_Toc172119881"/>
      <w:bookmarkStart w:id="136" w:name="_Toc172120214"/>
      <w:bookmarkStart w:id="137" w:name="_Toc172121432"/>
      <w:r w:rsidRPr="00232EBB">
        <w:rPr>
          <w:rFonts w:eastAsia="Calibri"/>
          <w:b/>
          <w:bCs/>
          <w:noProof/>
          <w:color w:val="808080" w:themeColor="background1" w:themeShade="80"/>
          <w:lang w:val="es-MX"/>
        </w:rPr>
        <w:t>Recuento de Personal.</w:t>
      </w:r>
      <w:bookmarkEnd w:id="122"/>
    </w:p>
    <w:p w14:paraId="6F0B189F" w14:textId="5FADD366" w:rsidR="00EF5D3F" w:rsidRPr="00232EBB" w:rsidRDefault="00EF5D3F" w:rsidP="00CB5570">
      <w:pPr>
        <w:spacing w:line="360" w:lineRule="auto"/>
        <w:jc w:val="both"/>
        <w:rPr>
          <w:rFonts w:eastAsia="Calibri"/>
          <w:b/>
          <w:bCs/>
          <w:noProof/>
          <w:color w:val="FFFFFF" w:themeColor="background1"/>
          <w:sz w:val="28"/>
          <w:szCs w:val="28"/>
          <w:lang w:val="es-DO"/>
        </w:rPr>
      </w:pPr>
      <w:r w:rsidRPr="00232EBB">
        <w:rPr>
          <w:noProof/>
          <w:color w:val="808080" w:themeColor="background1" w:themeShade="80"/>
          <w:szCs w:val="28"/>
          <w:lang w:val="es-MX"/>
        </w:rPr>
        <w:t>A continuación, presentamos una visión general de cantidades de colaboradores por grupos ocupacionales y la composición y el tamaño de la fuerza laboral de la TSS.</w:t>
      </w:r>
      <w:bookmarkStart w:id="138" w:name="_Toc171677839"/>
      <w:bookmarkStart w:id="139" w:name="_Toc172118698"/>
      <w:bookmarkStart w:id="140" w:name="_Toc172119851"/>
      <w:bookmarkStart w:id="141" w:name="_Toc172120184"/>
      <w:bookmarkStart w:id="142" w:name="_Toc172121402"/>
    </w:p>
    <w:tbl>
      <w:tblPr>
        <w:tblStyle w:val="MediumGrid3-Accent5"/>
        <w:tblpPr w:leftFromText="180" w:rightFromText="180" w:vertAnchor="text" w:horzAnchor="margin" w:tblpY="-24"/>
        <w:tblW w:w="7460" w:type="dxa"/>
        <w:tblLook w:val="04A0" w:firstRow="1" w:lastRow="0" w:firstColumn="1" w:lastColumn="0" w:noHBand="0" w:noVBand="1"/>
      </w:tblPr>
      <w:tblGrid>
        <w:gridCol w:w="2543"/>
        <w:gridCol w:w="1955"/>
        <w:gridCol w:w="1518"/>
        <w:gridCol w:w="1444"/>
      </w:tblGrid>
      <w:tr w:rsidR="00EF5D3F" w:rsidRPr="00232EBB" w14:paraId="6B2367EF" w14:textId="77777777" w:rsidTr="00E04BFC">
        <w:trPr>
          <w:cnfStyle w:val="100000000000" w:firstRow="1" w:lastRow="0" w:firstColumn="0" w:lastColumn="0" w:oddVBand="0" w:evenVBand="0" w:oddHBand="0" w:evenHBand="0" w:firstRowFirstColumn="0" w:firstRowLastColumn="0" w:lastRowFirstColumn="0" w:lastRowLastColumn="0"/>
          <w:trHeight w:val="524"/>
        </w:trPr>
        <w:tc>
          <w:tcPr>
            <w:cnfStyle w:val="001000000000" w:firstRow="0" w:lastRow="0" w:firstColumn="1" w:lastColumn="0" w:oddVBand="0" w:evenVBand="0" w:oddHBand="0" w:evenHBand="0" w:firstRowFirstColumn="0" w:firstRowLastColumn="0" w:lastRowFirstColumn="0" w:lastRowLastColumn="0"/>
            <w:tcW w:w="2543" w:type="dxa"/>
            <w:tcBorders>
              <w:bottom w:val="single" w:sz="4" w:space="0" w:color="auto"/>
            </w:tcBorders>
            <w:shd w:val="clear" w:color="auto" w:fill="002060"/>
            <w:vAlign w:val="center"/>
            <w:hideMark/>
          </w:tcPr>
          <w:bookmarkEnd w:id="123"/>
          <w:bookmarkEnd w:id="138"/>
          <w:bookmarkEnd w:id="139"/>
          <w:bookmarkEnd w:id="140"/>
          <w:bookmarkEnd w:id="141"/>
          <w:bookmarkEnd w:id="142"/>
          <w:p w14:paraId="2F88A099" w14:textId="77777777" w:rsidR="00EF5D3F" w:rsidRPr="00232EBB" w:rsidRDefault="00EF5D3F" w:rsidP="00895958">
            <w:pPr>
              <w:jc w:val="center"/>
              <w:rPr>
                <w:rFonts w:ascii="Times New Roman" w:eastAsiaTheme="minorHAnsi" w:hAnsi="Times New Roman" w:cs="Times New Roman"/>
                <w:noProof/>
                <w:spacing w:val="20"/>
                <w:sz w:val="24"/>
                <w:szCs w:val="28"/>
                <w:lang w:val="es-MX"/>
              </w:rPr>
            </w:pPr>
            <w:r w:rsidRPr="00232EBB">
              <w:rPr>
                <w:rFonts w:ascii="Times New Roman" w:eastAsiaTheme="minorHAnsi" w:hAnsi="Times New Roman" w:cs="Times New Roman"/>
                <w:noProof/>
                <w:spacing w:val="20"/>
                <w:sz w:val="24"/>
                <w:szCs w:val="28"/>
                <w:lang w:val="es-MX"/>
              </w:rPr>
              <w:t>Grupo Ocupacional</w:t>
            </w:r>
          </w:p>
        </w:tc>
        <w:tc>
          <w:tcPr>
            <w:tcW w:w="1955" w:type="dxa"/>
            <w:tcBorders>
              <w:bottom w:val="single" w:sz="4" w:space="0" w:color="auto"/>
            </w:tcBorders>
            <w:shd w:val="clear" w:color="auto" w:fill="002060"/>
            <w:vAlign w:val="center"/>
            <w:hideMark/>
          </w:tcPr>
          <w:p w14:paraId="2785D271" w14:textId="77777777" w:rsidR="00EF5D3F" w:rsidRPr="00232EBB" w:rsidRDefault="00EF5D3F" w:rsidP="00895958">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HAnsi" w:hAnsi="Times New Roman" w:cs="Times New Roman"/>
                <w:noProof/>
                <w:spacing w:val="20"/>
                <w:sz w:val="24"/>
                <w:szCs w:val="28"/>
                <w:lang w:val="es-MX"/>
              </w:rPr>
            </w:pPr>
            <w:r w:rsidRPr="00232EBB">
              <w:rPr>
                <w:rFonts w:ascii="Times New Roman" w:eastAsiaTheme="minorHAnsi" w:hAnsi="Times New Roman" w:cs="Times New Roman"/>
                <w:noProof/>
                <w:spacing w:val="20"/>
                <w:sz w:val="24"/>
                <w:szCs w:val="28"/>
                <w:lang w:val="es-MX"/>
              </w:rPr>
              <w:t>Mujeres</w:t>
            </w:r>
          </w:p>
        </w:tc>
        <w:tc>
          <w:tcPr>
            <w:tcW w:w="1518" w:type="dxa"/>
            <w:tcBorders>
              <w:bottom w:val="single" w:sz="4" w:space="0" w:color="auto"/>
            </w:tcBorders>
            <w:shd w:val="clear" w:color="auto" w:fill="002060"/>
            <w:vAlign w:val="center"/>
            <w:hideMark/>
          </w:tcPr>
          <w:p w14:paraId="53E7101E" w14:textId="77777777" w:rsidR="00EF5D3F" w:rsidRPr="00232EBB" w:rsidRDefault="00EF5D3F" w:rsidP="00895958">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HAnsi" w:hAnsi="Times New Roman" w:cs="Times New Roman"/>
                <w:noProof/>
                <w:spacing w:val="20"/>
                <w:sz w:val="24"/>
                <w:szCs w:val="28"/>
                <w:lang w:val="es-MX"/>
              </w:rPr>
            </w:pPr>
            <w:r w:rsidRPr="00232EBB">
              <w:rPr>
                <w:rFonts w:ascii="Times New Roman" w:eastAsiaTheme="minorHAnsi" w:hAnsi="Times New Roman" w:cs="Times New Roman"/>
                <w:noProof/>
                <w:spacing w:val="20"/>
                <w:sz w:val="24"/>
                <w:szCs w:val="28"/>
                <w:lang w:val="es-MX"/>
              </w:rPr>
              <w:t>Hombres</w:t>
            </w:r>
          </w:p>
        </w:tc>
        <w:tc>
          <w:tcPr>
            <w:tcW w:w="1444" w:type="dxa"/>
            <w:tcBorders>
              <w:bottom w:val="single" w:sz="4" w:space="0" w:color="auto"/>
            </w:tcBorders>
            <w:shd w:val="clear" w:color="auto" w:fill="002060"/>
            <w:vAlign w:val="center"/>
            <w:hideMark/>
          </w:tcPr>
          <w:p w14:paraId="62622B49" w14:textId="77777777" w:rsidR="00EF5D3F" w:rsidRPr="00232EBB" w:rsidRDefault="00EF5D3F" w:rsidP="00895958">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HAnsi" w:hAnsi="Times New Roman" w:cs="Times New Roman"/>
                <w:noProof/>
                <w:spacing w:val="20"/>
                <w:sz w:val="24"/>
                <w:szCs w:val="28"/>
                <w:lang w:val="es-MX"/>
              </w:rPr>
            </w:pPr>
            <w:r w:rsidRPr="00232EBB">
              <w:rPr>
                <w:rFonts w:ascii="Times New Roman" w:eastAsiaTheme="minorHAnsi" w:hAnsi="Times New Roman" w:cs="Times New Roman"/>
                <w:noProof/>
                <w:spacing w:val="20"/>
                <w:sz w:val="24"/>
                <w:szCs w:val="28"/>
                <w:lang w:val="es-MX"/>
              </w:rPr>
              <w:t>Total</w:t>
            </w:r>
          </w:p>
        </w:tc>
      </w:tr>
      <w:tr w:rsidR="00EF5D3F" w:rsidRPr="00232EBB" w14:paraId="2AC16829" w14:textId="77777777" w:rsidTr="00E115EF">
        <w:trPr>
          <w:cnfStyle w:val="000000100000" w:firstRow="0" w:lastRow="0" w:firstColumn="0" w:lastColumn="0" w:oddVBand="0" w:evenVBand="0" w:oddHBand="1" w:evenHBand="0" w:firstRowFirstColumn="0" w:firstRowLastColumn="0" w:lastRowFirstColumn="0" w:lastRowLastColumn="0"/>
          <w:trHeight w:val="578"/>
        </w:trPr>
        <w:tc>
          <w:tcPr>
            <w:cnfStyle w:val="001000000000" w:firstRow="0" w:lastRow="0" w:firstColumn="1" w:lastColumn="0" w:oddVBand="0" w:evenVBand="0" w:oddHBand="0" w:evenHBand="0" w:firstRowFirstColumn="0" w:firstRowLastColumn="0" w:lastRowFirstColumn="0" w:lastRowLastColumn="0"/>
            <w:tcW w:w="25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57228D" w14:textId="77777777" w:rsidR="00EF5D3F" w:rsidRPr="00232EBB" w:rsidRDefault="00EF5D3F" w:rsidP="00895958">
            <w:pPr>
              <w:jc w:val="center"/>
              <w:rPr>
                <w:rFonts w:ascii="Times New Roman" w:eastAsiaTheme="minorHAnsi" w:hAnsi="Times New Roman" w:cs="Times New Roman"/>
                <w:b w:val="0"/>
                <w:bCs w:val="0"/>
                <w:noProof/>
                <w:color w:val="808080" w:themeColor="background1" w:themeShade="80"/>
                <w:spacing w:val="20"/>
                <w:sz w:val="24"/>
                <w:szCs w:val="28"/>
                <w:lang w:val="es-MX"/>
              </w:rPr>
            </w:pPr>
            <w:r w:rsidRPr="00232EBB">
              <w:rPr>
                <w:rFonts w:ascii="Times New Roman" w:eastAsiaTheme="minorHAnsi" w:hAnsi="Times New Roman" w:cs="Times New Roman"/>
                <w:b w:val="0"/>
                <w:bCs w:val="0"/>
                <w:noProof/>
                <w:color w:val="808080" w:themeColor="background1" w:themeShade="80"/>
                <w:spacing w:val="20"/>
                <w:sz w:val="24"/>
                <w:szCs w:val="28"/>
                <w:lang w:val="es-MX"/>
              </w:rPr>
              <w:t>Grupo Ocupacional I (Servicios generales)</w:t>
            </w:r>
          </w:p>
        </w:tc>
        <w:tc>
          <w:tcPr>
            <w:tcW w:w="195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D55643" w14:textId="77777777" w:rsidR="00EF5D3F" w:rsidRPr="00232EBB" w:rsidRDefault="00EF5D3F" w:rsidP="00895958">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HAnsi" w:hAnsi="Times New Roman" w:cs="Times New Roman"/>
                <w:noProof/>
                <w:color w:val="808080" w:themeColor="background1" w:themeShade="80"/>
                <w:spacing w:val="20"/>
                <w:sz w:val="24"/>
                <w:szCs w:val="28"/>
                <w:lang w:val="es-MX"/>
              </w:rPr>
            </w:pPr>
            <w:r w:rsidRPr="00232EBB">
              <w:rPr>
                <w:rFonts w:ascii="Times New Roman" w:eastAsiaTheme="minorHAnsi" w:hAnsi="Times New Roman" w:cs="Times New Roman"/>
                <w:noProof/>
                <w:color w:val="808080" w:themeColor="background1" w:themeShade="80"/>
                <w:spacing w:val="20"/>
                <w:sz w:val="24"/>
                <w:szCs w:val="28"/>
                <w:lang w:val="es-MX"/>
              </w:rPr>
              <w:t>0</w:t>
            </w:r>
          </w:p>
        </w:tc>
        <w:tc>
          <w:tcPr>
            <w:tcW w:w="15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5B166B" w14:textId="77777777" w:rsidR="00EF5D3F" w:rsidRPr="00232EBB" w:rsidRDefault="00EF5D3F" w:rsidP="00895958">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HAnsi" w:hAnsi="Times New Roman" w:cs="Times New Roman"/>
                <w:noProof/>
                <w:color w:val="808080" w:themeColor="background1" w:themeShade="80"/>
                <w:spacing w:val="20"/>
                <w:sz w:val="24"/>
                <w:szCs w:val="28"/>
                <w:lang w:val="es-MX"/>
              </w:rPr>
            </w:pPr>
            <w:r w:rsidRPr="00232EBB">
              <w:rPr>
                <w:rFonts w:ascii="Times New Roman" w:eastAsiaTheme="minorHAnsi" w:hAnsi="Times New Roman" w:cs="Times New Roman"/>
                <w:noProof/>
                <w:color w:val="808080" w:themeColor="background1" w:themeShade="80"/>
                <w:spacing w:val="20"/>
                <w:sz w:val="24"/>
                <w:szCs w:val="28"/>
                <w:lang w:val="es-MX"/>
              </w:rPr>
              <w:t>16</w:t>
            </w:r>
          </w:p>
        </w:tc>
        <w:tc>
          <w:tcPr>
            <w:tcW w:w="14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77C4B0" w14:textId="77777777" w:rsidR="00EF5D3F" w:rsidRPr="00232EBB" w:rsidRDefault="00EF5D3F" w:rsidP="00895958">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HAnsi" w:hAnsi="Times New Roman" w:cs="Times New Roman"/>
                <w:noProof/>
                <w:color w:val="808080" w:themeColor="background1" w:themeShade="80"/>
                <w:spacing w:val="20"/>
                <w:sz w:val="24"/>
                <w:szCs w:val="28"/>
                <w:lang w:val="es-MX"/>
              </w:rPr>
            </w:pPr>
            <w:r w:rsidRPr="00232EBB">
              <w:rPr>
                <w:rFonts w:ascii="Times New Roman" w:eastAsiaTheme="minorHAnsi" w:hAnsi="Times New Roman" w:cs="Times New Roman"/>
                <w:noProof/>
                <w:color w:val="808080" w:themeColor="background1" w:themeShade="80"/>
                <w:spacing w:val="20"/>
                <w:sz w:val="24"/>
                <w:szCs w:val="28"/>
                <w:lang w:val="es-MX"/>
              </w:rPr>
              <w:t>16</w:t>
            </w:r>
          </w:p>
        </w:tc>
      </w:tr>
      <w:tr w:rsidR="00EF5D3F" w:rsidRPr="00232EBB" w14:paraId="65FAA719" w14:textId="77777777" w:rsidTr="00E115EF">
        <w:trPr>
          <w:trHeight w:val="371"/>
        </w:trPr>
        <w:tc>
          <w:tcPr>
            <w:cnfStyle w:val="001000000000" w:firstRow="0" w:lastRow="0" w:firstColumn="1" w:lastColumn="0" w:oddVBand="0" w:evenVBand="0" w:oddHBand="0" w:evenHBand="0" w:firstRowFirstColumn="0" w:firstRowLastColumn="0" w:lastRowFirstColumn="0" w:lastRowLastColumn="0"/>
            <w:tcW w:w="25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C5B50D" w14:textId="066F14C5" w:rsidR="00EF5D3F" w:rsidRPr="00232EBB" w:rsidRDefault="00EF5D3F" w:rsidP="00895958">
            <w:pPr>
              <w:jc w:val="center"/>
              <w:rPr>
                <w:rFonts w:ascii="Times New Roman" w:eastAsiaTheme="minorHAnsi" w:hAnsi="Times New Roman" w:cs="Times New Roman"/>
                <w:b w:val="0"/>
                <w:bCs w:val="0"/>
                <w:noProof/>
                <w:color w:val="808080" w:themeColor="background1" w:themeShade="80"/>
                <w:spacing w:val="20"/>
                <w:sz w:val="24"/>
                <w:szCs w:val="28"/>
                <w:lang w:val="es-MX"/>
              </w:rPr>
            </w:pPr>
            <w:r w:rsidRPr="00232EBB">
              <w:rPr>
                <w:rFonts w:ascii="Times New Roman" w:eastAsiaTheme="minorHAnsi" w:hAnsi="Times New Roman" w:cs="Times New Roman"/>
                <w:b w:val="0"/>
                <w:bCs w:val="0"/>
                <w:noProof/>
                <w:color w:val="808080" w:themeColor="background1" w:themeShade="80"/>
                <w:spacing w:val="20"/>
                <w:sz w:val="24"/>
                <w:szCs w:val="28"/>
                <w:lang w:val="es-MX"/>
              </w:rPr>
              <w:t>Grupo Ocupacional II (Supervisión y apoyo)</w:t>
            </w:r>
          </w:p>
        </w:tc>
        <w:tc>
          <w:tcPr>
            <w:tcW w:w="195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BF8A7E" w14:textId="77777777" w:rsidR="00EF5D3F" w:rsidRPr="00232EBB" w:rsidRDefault="00EF5D3F" w:rsidP="00895958">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cs="Times New Roman"/>
                <w:noProof/>
                <w:color w:val="808080" w:themeColor="background1" w:themeShade="80"/>
                <w:spacing w:val="20"/>
                <w:sz w:val="24"/>
                <w:szCs w:val="28"/>
                <w:lang w:val="es-MX"/>
              </w:rPr>
            </w:pPr>
            <w:r w:rsidRPr="00232EBB">
              <w:rPr>
                <w:rFonts w:ascii="Times New Roman" w:eastAsiaTheme="minorHAnsi" w:hAnsi="Times New Roman" w:cs="Times New Roman"/>
                <w:noProof/>
                <w:color w:val="808080" w:themeColor="background1" w:themeShade="80"/>
                <w:spacing w:val="20"/>
                <w:sz w:val="24"/>
                <w:szCs w:val="28"/>
                <w:lang w:val="es-MX"/>
              </w:rPr>
              <w:t>38</w:t>
            </w:r>
          </w:p>
        </w:tc>
        <w:tc>
          <w:tcPr>
            <w:tcW w:w="15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30C449" w14:textId="77777777" w:rsidR="00EF5D3F" w:rsidRPr="00232EBB" w:rsidRDefault="00EF5D3F" w:rsidP="00895958">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cs="Times New Roman"/>
                <w:noProof/>
                <w:color w:val="808080" w:themeColor="background1" w:themeShade="80"/>
                <w:spacing w:val="20"/>
                <w:sz w:val="24"/>
                <w:szCs w:val="28"/>
                <w:lang w:val="es-MX"/>
              </w:rPr>
            </w:pPr>
            <w:r w:rsidRPr="00232EBB">
              <w:rPr>
                <w:rFonts w:ascii="Times New Roman" w:eastAsiaTheme="minorHAnsi" w:hAnsi="Times New Roman" w:cs="Times New Roman"/>
                <w:noProof/>
                <w:color w:val="808080" w:themeColor="background1" w:themeShade="80"/>
                <w:spacing w:val="20"/>
                <w:sz w:val="24"/>
                <w:szCs w:val="28"/>
                <w:lang w:val="es-MX"/>
              </w:rPr>
              <w:t>19</w:t>
            </w:r>
          </w:p>
        </w:tc>
        <w:tc>
          <w:tcPr>
            <w:tcW w:w="14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E70D6C" w14:textId="77777777" w:rsidR="00EF5D3F" w:rsidRPr="00232EBB" w:rsidRDefault="00EF5D3F" w:rsidP="00895958">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cs="Times New Roman"/>
                <w:noProof/>
                <w:color w:val="808080" w:themeColor="background1" w:themeShade="80"/>
                <w:spacing w:val="20"/>
                <w:sz w:val="24"/>
                <w:szCs w:val="28"/>
                <w:lang w:val="es-MX"/>
              </w:rPr>
            </w:pPr>
            <w:r w:rsidRPr="00232EBB">
              <w:rPr>
                <w:rFonts w:ascii="Times New Roman" w:eastAsiaTheme="minorHAnsi" w:hAnsi="Times New Roman" w:cs="Times New Roman"/>
                <w:noProof/>
                <w:color w:val="808080" w:themeColor="background1" w:themeShade="80"/>
                <w:spacing w:val="20"/>
                <w:sz w:val="24"/>
                <w:szCs w:val="28"/>
                <w:lang w:val="es-MX"/>
              </w:rPr>
              <w:t>57</w:t>
            </w:r>
          </w:p>
        </w:tc>
      </w:tr>
      <w:tr w:rsidR="00EF5D3F" w:rsidRPr="00232EBB" w14:paraId="59237E59" w14:textId="77777777" w:rsidTr="00E115EF">
        <w:trPr>
          <w:cnfStyle w:val="000000100000" w:firstRow="0" w:lastRow="0" w:firstColumn="0" w:lastColumn="0" w:oddVBand="0" w:evenVBand="0" w:oddHBand="1"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25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E95321" w14:textId="6010F377" w:rsidR="00EF5D3F" w:rsidRPr="00232EBB" w:rsidRDefault="00EF5D3F" w:rsidP="00895958">
            <w:pPr>
              <w:jc w:val="center"/>
              <w:rPr>
                <w:rFonts w:ascii="Times New Roman" w:eastAsiaTheme="minorHAnsi" w:hAnsi="Times New Roman" w:cs="Times New Roman"/>
                <w:b w:val="0"/>
                <w:bCs w:val="0"/>
                <w:noProof/>
                <w:color w:val="808080" w:themeColor="background1" w:themeShade="80"/>
                <w:spacing w:val="20"/>
                <w:sz w:val="24"/>
                <w:szCs w:val="28"/>
                <w:lang w:val="es-MX"/>
              </w:rPr>
            </w:pPr>
            <w:r w:rsidRPr="00232EBB">
              <w:rPr>
                <w:rFonts w:ascii="Times New Roman" w:eastAsiaTheme="minorHAnsi" w:hAnsi="Times New Roman" w:cs="Times New Roman"/>
                <w:b w:val="0"/>
                <w:bCs w:val="0"/>
                <w:noProof/>
                <w:color w:val="808080" w:themeColor="background1" w:themeShade="80"/>
                <w:spacing w:val="20"/>
                <w:sz w:val="24"/>
                <w:szCs w:val="28"/>
                <w:lang w:val="es-MX"/>
              </w:rPr>
              <w:t>Grupo Ocupacional III (Técnicos)</w:t>
            </w:r>
          </w:p>
        </w:tc>
        <w:tc>
          <w:tcPr>
            <w:tcW w:w="195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270C28" w14:textId="77777777" w:rsidR="00EF5D3F" w:rsidRPr="00232EBB" w:rsidRDefault="00EF5D3F" w:rsidP="00895958">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HAnsi" w:hAnsi="Times New Roman" w:cs="Times New Roman"/>
                <w:noProof/>
                <w:color w:val="808080" w:themeColor="background1" w:themeShade="80"/>
                <w:spacing w:val="20"/>
                <w:sz w:val="24"/>
                <w:szCs w:val="28"/>
                <w:lang w:val="es-MX"/>
              </w:rPr>
            </w:pPr>
            <w:r w:rsidRPr="00232EBB">
              <w:rPr>
                <w:rFonts w:ascii="Times New Roman" w:eastAsiaTheme="minorHAnsi" w:hAnsi="Times New Roman" w:cs="Times New Roman"/>
                <w:noProof/>
                <w:color w:val="808080" w:themeColor="background1" w:themeShade="80"/>
                <w:spacing w:val="20"/>
                <w:sz w:val="24"/>
                <w:szCs w:val="28"/>
                <w:lang w:val="es-MX"/>
              </w:rPr>
              <w:t>38</w:t>
            </w:r>
          </w:p>
        </w:tc>
        <w:tc>
          <w:tcPr>
            <w:tcW w:w="15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0A14F9" w14:textId="77777777" w:rsidR="00EF5D3F" w:rsidRPr="00232EBB" w:rsidRDefault="00EF5D3F" w:rsidP="00895958">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HAnsi" w:hAnsi="Times New Roman" w:cs="Times New Roman"/>
                <w:noProof/>
                <w:color w:val="808080" w:themeColor="background1" w:themeShade="80"/>
                <w:spacing w:val="20"/>
                <w:sz w:val="24"/>
                <w:szCs w:val="28"/>
                <w:lang w:val="es-MX"/>
              </w:rPr>
            </w:pPr>
            <w:r w:rsidRPr="00232EBB">
              <w:rPr>
                <w:rFonts w:ascii="Times New Roman" w:eastAsiaTheme="minorHAnsi" w:hAnsi="Times New Roman" w:cs="Times New Roman"/>
                <w:noProof/>
                <w:color w:val="808080" w:themeColor="background1" w:themeShade="80"/>
                <w:spacing w:val="20"/>
                <w:sz w:val="24"/>
                <w:szCs w:val="28"/>
                <w:lang w:val="es-MX"/>
              </w:rPr>
              <w:t>22</w:t>
            </w:r>
          </w:p>
        </w:tc>
        <w:tc>
          <w:tcPr>
            <w:tcW w:w="14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D38860" w14:textId="77777777" w:rsidR="00EF5D3F" w:rsidRPr="00232EBB" w:rsidRDefault="00EF5D3F" w:rsidP="00895958">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HAnsi" w:hAnsi="Times New Roman" w:cs="Times New Roman"/>
                <w:noProof/>
                <w:color w:val="808080" w:themeColor="background1" w:themeShade="80"/>
                <w:spacing w:val="20"/>
                <w:sz w:val="24"/>
                <w:szCs w:val="28"/>
                <w:lang w:val="es-MX"/>
              </w:rPr>
            </w:pPr>
            <w:r w:rsidRPr="00232EBB">
              <w:rPr>
                <w:rFonts w:ascii="Times New Roman" w:eastAsiaTheme="minorHAnsi" w:hAnsi="Times New Roman" w:cs="Times New Roman"/>
                <w:noProof/>
                <w:color w:val="808080" w:themeColor="background1" w:themeShade="80"/>
                <w:spacing w:val="20"/>
                <w:sz w:val="24"/>
                <w:szCs w:val="28"/>
                <w:lang w:val="es-MX"/>
              </w:rPr>
              <w:t>60</w:t>
            </w:r>
          </w:p>
        </w:tc>
      </w:tr>
      <w:tr w:rsidR="00EF5D3F" w:rsidRPr="00232EBB" w14:paraId="2F2E0654" w14:textId="77777777" w:rsidTr="00E115EF">
        <w:trPr>
          <w:trHeight w:val="326"/>
        </w:trPr>
        <w:tc>
          <w:tcPr>
            <w:cnfStyle w:val="001000000000" w:firstRow="0" w:lastRow="0" w:firstColumn="1" w:lastColumn="0" w:oddVBand="0" w:evenVBand="0" w:oddHBand="0" w:evenHBand="0" w:firstRowFirstColumn="0" w:firstRowLastColumn="0" w:lastRowFirstColumn="0" w:lastRowLastColumn="0"/>
            <w:tcW w:w="25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B3145E" w14:textId="77777777" w:rsidR="00EF5D3F" w:rsidRPr="00232EBB" w:rsidRDefault="00EF5D3F" w:rsidP="00895958">
            <w:pPr>
              <w:jc w:val="center"/>
              <w:rPr>
                <w:rFonts w:ascii="Times New Roman" w:eastAsiaTheme="minorHAnsi" w:hAnsi="Times New Roman" w:cs="Times New Roman"/>
                <w:b w:val="0"/>
                <w:bCs w:val="0"/>
                <w:noProof/>
                <w:color w:val="808080" w:themeColor="background1" w:themeShade="80"/>
                <w:spacing w:val="20"/>
                <w:sz w:val="24"/>
                <w:szCs w:val="28"/>
                <w:lang w:val="es-MX"/>
              </w:rPr>
            </w:pPr>
            <w:r w:rsidRPr="00232EBB">
              <w:rPr>
                <w:rFonts w:ascii="Times New Roman" w:eastAsiaTheme="minorHAnsi" w:hAnsi="Times New Roman" w:cs="Times New Roman"/>
                <w:b w:val="0"/>
                <w:bCs w:val="0"/>
                <w:noProof/>
                <w:color w:val="808080" w:themeColor="background1" w:themeShade="80"/>
                <w:spacing w:val="20"/>
                <w:sz w:val="24"/>
                <w:szCs w:val="28"/>
                <w:lang w:val="es-MX"/>
              </w:rPr>
              <w:t>Grupo Ocupacional IV (Profesionales)</w:t>
            </w:r>
          </w:p>
        </w:tc>
        <w:tc>
          <w:tcPr>
            <w:tcW w:w="195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21338B" w14:textId="77777777" w:rsidR="00EF5D3F" w:rsidRPr="00232EBB" w:rsidRDefault="00EF5D3F" w:rsidP="00895958">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cs="Times New Roman"/>
                <w:noProof/>
                <w:color w:val="808080" w:themeColor="background1" w:themeShade="80"/>
                <w:spacing w:val="20"/>
                <w:sz w:val="24"/>
                <w:szCs w:val="28"/>
                <w:lang w:val="es-MX"/>
              </w:rPr>
            </w:pPr>
            <w:r w:rsidRPr="00232EBB">
              <w:rPr>
                <w:rFonts w:ascii="Times New Roman" w:eastAsiaTheme="minorHAnsi" w:hAnsi="Times New Roman" w:cs="Times New Roman"/>
                <w:noProof/>
                <w:color w:val="808080" w:themeColor="background1" w:themeShade="80"/>
                <w:spacing w:val="20"/>
                <w:sz w:val="24"/>
                <w:szCs w:val="28"/>
                <w:lang w:val="es-MX"/>
              </w:rPr>
              <w:t>98</w:t>
            </w:r>
          </w:p>
        </w:tc>
        <w:tc>
          <w:tcPr>
            <w:tcW w:w="15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C3035C" w14:textId="77777777" w:rsidR="00EF5D3F" w:rsidRPr="00232EBB" w:rsidRDefault="00EF5D3F" w:rsidP="00895958">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cs="Times New Roman"/>
                <w:noProof/>
                <w:color w:val="808080" w:themeColor="background1" w:themeShade="80"/>
                <w:spacing w:val="20"/>
                <w:sz w:val="24"/>
                <w:szCs w:val="28"/>
                <w:lang w:val="es-MX"/>
              </w:rPr>
            </w:pPr>
            <w:r w:rsidRPr="00232EBB">
              <w:rPr>
                <w:rFonts w:ascii="Times New Roman" w:eastAsiaTheme="minorHAnsi" w:hAnsi="Times New Roman" w:cs="Times New Roman"/>
                <w:noProof/>
                <w:color w:val="808080" w:themeColor="background1" w:themeShade="80"/>
                <w:spacing w:val="20"/>
                <w:sz w:val="24"/>
                <w:szCs w:val="28"/>
                <w:lang w:val="es-MX"/>
              </w:rPr>
              <w:t>51</w:t>
            </w:r>
          </w:p>
        </w:tc>
        <w:tc>
          <w:tcPr>
            <w:tcW w:w="14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64AC2D" w14:textId="77777777" w:rsidR="00EF5D3F" w:rsidRPr="00232EBB" w:rsidRDefault="00EF5D3F" w:rsidP="00895958">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cs="Times New Roman"/>
                <w:noProof/>
                <w:color w:val="808080" w:themeColor="background1" w:themeShade="80"/>
                <w:spacing w:val="20"/>
                <w:sz w:val="24"/>
                <w:szCs w:val="28"/>
                <w:lang w:val="es-MX"/>
              </w:rPr>
            </w:pPr>
            <w:r w:rsidRPr="00232EBB">
              <w:rPr>
                <w:rFonts w:ascii="Times New Roman" w:eastAsiaTheme="minorHAnsi" w:hAnsi="Times New Roman" w:cs="Times New Roman"/>
                <w:noProof/>
                <w:color w:val="808080" w:themeColor="background1" w:themeShade="80"/>
                <w:spacing w:val="20"/>
                <w:sz w:val="24"/>
                <w:szCs w:val="28"/>
                <w:lang w:val="es-MX"/>
              </w:rPr>
              <w:t>149</w:t>
            </w:r>
          </w:p>
        </w:tc>
      </w:tr>
      <w:tr w:rsidR="00EF5D3F" w:rsidRPr="00232EBB" w14:paraId="78918BBF" w14:textId="77777777" w:rsidTr="00E04BFC">
        <w:trPr>
          <w:cnfStyle w:val="000000100000" w:firstRow="0" w:lastRow="0" w:firstColumn="0" w:lastColumn="0" w:oddVBand="0" w:evenVBand="0" w:oddHBand="1" w:evenHBand="0" w:firstRowFirstColumn="0" w:firstRowLastColumn="0" w:lastRowFirstColumn="0" w:lastRowLastColumn="0"/>
          <w:trHeight w:val="558"/>
        </w:trPr>
        <w:tc>
          <w:tcPr>
            <w:cnfStyle w:val="001000000000" w:firstRow="0" w:lastRow="0" w:firstColumn="1" w:lastColumn="0" w:oddVBand="0" w:evenVBand="0" w:oddHBand="0" w:evenHBand="0" w:firstRowFirstColumn="0" w:firstRowLastColumn="0" w:lastRowFirstColumn="0" w:lastRowLastColumn="0"/>
            <w:tcW w:w="25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B57F0A" w14:textId="50738CE5" w:rsidR="00EF5D3F" w:rsidRPr="00232EBB" w:rsidRDefault="00EF5D3F" w:rsidP="00895958">
            <w:pPr>
              <w:jc w:val="center"/>
              <w:rPr>
                <w:rFonts w:ascii="Times New Roman" w:eastAsiaTheme="minorHAnsi" w:hAnsi="Times New Roman" w:cs="Times New Roman"/>
                <w:b w:val="0"/>
                <w:bCs w:val="0"/>
                <w:noProof/>
                <w:color w:val="808080" w:themeColor="background1" w:themeShade="80"/>
                <w:spacing w:val="20"/>
                <w:sz w:val="24"/>
                <w:szCs w:val="28"/>
                <w:lang w:val="es-MX"/>
              </w:rPr>
            </w:pPr>
            <w:r w:rsidRPr="00232EBB">
              <w:rPr>
                <w:rFonts w:ascii="Times New Roman" w:eastAsiaTheme="minorHAnsi" w:hAnsi="Times New Roman" w:cs="Times New Roman"/>
                <w:b w:val="0"/>
                <w:bCs w:val="0"/>
                <w:noProof/>
                <w:color w:val="808080" w:themeColor="background1" w:themeShade="80"/>
                <w:spacing w:val="20"/>
                <w:sz w:val="24"/>
                <w:szCs w:val="28"/>
                <w:lang w:val="es-MX"/>
              </w:rPr>
              <w:t>Grupo Ocupacional V (Dirección)</w:t>
            </w:r>
          </w:p>
        </w:tc>
        <w:tc>
          <w:tcPr>
            <w:tcW w:w="195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D750CA" w14:textId="77777777" w:rsidR="00EF5D3F" w:rsidRPr="00232EBB" w:rsidRDefault="00EF5D3F" w:rsidP="00895958">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HAnsi" w:hAnsi="Times New Roman" w:cs="Times New Roman"/>
                <w:noProof/>
                <w:color w:val="808080" w:themeColor="background1" w:themeShade="80"/>
                <w:spacing w:val="20"/>
                <w:sz w:val="24"/>
                <w:szCs w:val="28"/>
                <w:lang w:val="es-MX"/>
              </w:rPr>
            </w:pPr>
            <w:r w:rsidRPr="00232EBB">
              <w:rPr>
                <w:rFonts w:ascii="Times New Roman" w:eastAsiaTheme="minorHAnsi" w:hAnsi="Times New Roman" w:cs="Times New Roman"/>
                <w:noProof/>
                <w:color w:val="808080" w:themeColor="background1" w:themeShade="80"/>
                <w:spacing w:val="20"/>
                <w:sz w:val="24"/>
                <w:szCs w:val="28"/>
                <w:lang w:val="es-MX"/>
              </w:rPr>
              <w:t>42</w:t>
            </w:r>
          </w:p>
        </w:tc>
        <w:tc>
          <w:tcPr>
            <w:tcW w:w="15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432B07" w14:textId="77777777" w:rsidR="00EF5D3F" w:rsidRPr="00232EBB" w:rsidRDefault="00EF5D3F" w:rsidP="00895958">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HAnsi" w:hAnsi="Times New Roman" w:cs="Times New Roman"/>
                <w:noProof/>
                <w:color w:val="808080" w:themeColor="background1" w:themeShade="80"/>
                <w:spacing w:val="20"/>
                <w:sz w:val="24"/>
                <w:szCs w:val="28"/>
                <w:lang w:val="es-MX"/>
              </w:rPr>
            </w:pPr>
            <w:r w:rsidRPr="00232EBB">
              <w:rPr>
                <w:rFonts w:ascii="Times New Roman" w:eastAsiaTheme="minorHAnsi" w:hAnsi="Times New Roman" w:cs="Times New Roman"/>
                <w:noProof/>
                <w:color w:val="808080" w:themeColor="background1" w:themeShade="80"/>
                <w:spacing w:val="20"/>
                <w:sz w:val="24"/>
                <w:szCs w:val="28"/>
                <w:lang w:val="es-MX"/>
              </w:rPr>
              <w:t>31</w:t>
            </w:r>
          </w:p>
        </w:tc>
        <w:tc>
          <w:tcPr>
            <w:tcW w:w="14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D676A0" w14:textId="77777777" w:rsidR="00EF5D3F" w:rsidRPr="00232EBB" w:rsidRDefault="00EF5D3F" w:rsidP="00895958">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HAnsi" w:hAnsi="Times New Roman" w:cs="Times New Roman"/>
                <w:noProof/>
                <w:color w:val="808080" w:themeColor="background1" w:themeShade="80"/>
                <w:spacing w:val="20"/>
                <w:sz w:val="24"/>
                <w:szCs w:val="28"/>
                <w:lang w:val="es-MX"/>
              </w:rPr>
            </w:pPr>
            <w:r w:rsidRPr="00232EBB">
              <w:rPr>
                <w:rFonts w:ascii="Times New Roman" w:eastAsiaTheme="minorHAnsi" w:hAnsi="Times New Roman" w:cs="Times New Roman"/>
                <w:noProof/>
                <w:color w:val="808080" w:themeColor="background1" w:themeShade="80"/>
                <w:spacing w:val="20"/>
                <w:sz w:val="24"/>
                <w:szCs w:val="28"/>
                <w:lang w:val="es-MX"/>
              </w:rPr>
              <w:t>73</w:t>
            </w:r>
          </w:p>
        </w:tc>
      </w:tr>
      <w:tr w:rsidR="00EF5D3F" w:rsidRPr="00232EBB" w14:paraId="675DA701" w14:textId="77777777" w:rsidTr="00E115EF">
        <w:trPr>
          <w:trHeight w:val="96"/>
        </w:trPr>
        <w:tc>
          <w:tcPr>
            <w:cnfStyle w:val="001000000000" w:firstRow="0" w:lastRow="0" w:firstColumn="1" w:lastColumn="0" w:oddVBand="0" w:evenVBand="0" w:oddHBand="0" w:evenHBand="0" w:firstRowFirstColumn="0" w:firstRowLastColumn="0" w:lastRowFirstColumn="0" w:lastRowLastColumn="0"/>
            <w:tcW w:w="25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AB245D" w14:textId="77777777" w:rsidR="00EF5D3F" w:rsidRPr="00232EBB" w:rsidRDefault="00EF5D3F" w:rsidP="00895958">
            <w:pPr>
              <w:jc w:val="center"/>
              <w:rPr>
                <w:rFonts w:ascii="Times New Roman" w:eastAsiaTheme="minorHAnsi" w:hAnsi="Times New Roman" w:cs="Times New Roman"/>
                <w:b w:val="0"/>
                <w:bCs w:val="0"/>
                <w:noProof/>
                <w:color w:val="808080" w:themeColor="background1" w:themeShade="80"/>
                <w:spacing w:val="20"/>
                <w:sz w:val="24"/>
                <w:szCs w:val="28"/>
                <w:lang w:val="es-MX"/>
              </w:rPr>
            </w:pPr>
            <w:r w:rsidRPr="00232EBB">
              <w:rPr>
                <w:rFonts w:ascii="Times New Roman" w:eastAsiaTheme="minorHAnsi" w:hAnsi="Times New Roman" w:cs="Times New Roman"/>
                <w:b w:val="0"/>
                <w:bCs w:val="0"/>
                <w:noProof/>
                <w:color w:val="808080" w:themeColor="background1" w:themeShade="80"/>
                <w:spacing w:val="20"/>
                <w:sz w:val="24"/>
                <w:szCs w:val="28"/>
                <w:lang w:val="es-MX"/>
              </w:rPr>
              <w:t>Totales</w:t>
            </w:r>
          </w:p>
        </w:tc>
        <w:tc>
          <w:tcPr>
            <w:tcW w:w="195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9EC5A5" w14:textId="77777777" w:rsidR="00EF5D3F" w:rsidRPr="00232EBB" w:rsidRDefault="00EF5D3F" w:rsidP="00895958">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cs="Times New Roman"/>
                <w:noProof/>
                <w:color w:val="808080" w:themeColor="background1" w:themeShade="80"/>
                <w:spacing w:val="20"/>
                <w:sz w:val="24"/>
                <w:szCs w:val="28"/>
                <w:lang w:val="es-MX"/>
              </w:rPr>
            </w:pPr>
            <w:r w:rsidRPr="00232EBB">
              <w:rPr>
                <w:rFonts w:ascii="Times New Roman" w:eastAsiaTheme="minorHAnsi" w:hAnsi="Times New Roman" w:cs="Times New Roman"/>
                <w:noProof/>
                <w:color w:val="808080" w:themeColor="background1" w:themeShade="80"/>
                <w:spacing w:val="20"/>
                <w:sz w:val="24"/>
                <w:szCs w:val="28"/>
                <w:lang w:val="es-MX"/>
              </w:rPr>
              <w:t>216</w:t>
            </w:r>
          </w:p>
        </w:tc>
        <w:tc>
          <w:tcPr>
            <w:tcW w:w="15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113E2F" w14:textId="77777777" w:rsidR="00EF5D3F" w:rsidRPr="00232EBB" w:rsidRDefault="00EF5D3F" w:rsidP="00895958">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cs="Times New Roman"/>
                <w:noProof/>
                <w:color w:val="808080" w:themeColor="background1" w:themeShade="80"/>
                <w:spacing w:val="20"/>
                <w:sz w:val="24"/>
                <w:szCs w:val="28"/>
                <w:lang w:val="es-MX"/>
              </w:rPr>
            </w:pPr>
            <w:r w:rsidRPr="00232EBB">
              <w:rPr>
                <w:rFonts w:ascii="Times New Roman" w:eastAsiaTheme="minorHAnsi" w:hAnsi="Times New Roman" w:cs="Times New Roman"/>
                <w:noProof/>
                <w:color w:val="808080" w:themeColor="background1" w:themeShade="80"/>
                <w:spacing w:val="20"/>
                <w:sz w:val="24"/>
                <w:szCs w:val="28"/>
                <w:lang w:val="es-MX"/>
              </w:rPr>
              <w:t>139</w:t>
            </w:r>
          </w:p>
        </w:tc>
        <w:tc>
          <w:tcPr>
            <w:tcW w:w="14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8B6991" w14:textId="77777777" w:rsidR="00EF5D3F" w:rsidRPr="00232EBB" w:rsidRDefault="00EF5D3F" w:rsidP="00895958">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cs="Times New Roman"/>
                <w:noProof/>
                <w:color w:val="808080" w:themeColor="background1" w:themeShade="80"/>
                <w:spacing w:val="20"/>
                <w:sz w:val="24"/>
                <w:szCs w:val="28"/>
                <w:lang w:val="es-MX"/>
              </w:rPr>
            </w:pPr>
            <w:r w:rsidRPr="00232EBB">
              <w:rPr>
                <w:rFonts w:ascii="Times New Roman" w:eastAsiaTheme="minorHAnsi" w:hAnsi="Times New Roman" w:cs="Times New Roman"/>
                <w:noProof/>
                <w:color w:val="808080" w:themeColor="background1" w:themeShade="80"/>
                <w:spacing w:val="20"/>
                <w:sz w:val="24"/>
                <w:szCs w:val="28"/>
                <w:lang w:val="es-MX"/>
              </w:rPr>
              <w:t>355</w:t>
            </w:r>
          </w:p>
        </w:tc>
      </w:tr>
    </w:tbl>
    <w:p w14:paraId="550B354A" w14:textId="454DADC4" w:rsidR="00EF5D3F" w:rsidRPr="00232EBB" w:rsidRDefault="003E1BC1" w:rsidP="00EF5D3F">
      <w:pPr>
        <w:spacing w:line="360" w:lineRule="auto"/>
        <w:rPr>
          <w:noProof/>
          <w:color w:val="808080" w:themeColor="background1" w:themeShade="80"/>
          <w:sz w:val="18"/>
          <w:szCs w:val="20"/>
          <w:lang w:val="es-MX"/>
        </w:rPr>
      </w:pPr>
      <w:r w:rsidRPr="00232EBB">
        <w:rPr>
          <w:b/>
          <w:bCs/>
          <w:noProof/>
          <w:color w:val="808080" w:themeColor="background1" w:themeShade="80"/>
          <w:sz w:val="18"/>
          <w:szCs w:val="20"/>
          <w:lang w:val="es-MX"/>
        </w:rPr>
        <w:t>Tabla 1</w:t>
      </w:r>
      <w:r w:rsidR="00E27BAB">
        <w:rPr>
          <w:b/>
          <w:bCs/>
          <w:noProof/>
          <w:color w:val="808080" w:themeColor="background1" w:themeShade="80"/>
          <w:sz w:val="18"/>
          <w:szCs w:val="20"/>
          <w:lang w:val="es-MX"/>
        </w:rPr>
        <w:t>9</w:t>
      </w:r>
      <w:r w:rsidRPr="00232EBB">
        <w:rPr>
          <w:noProof/>
          <w:color w:val="808080" w:themeColor="background1" w:themeShade="80"/>
          <w:sz w:val="18"/>
          <w:szCs w:val="20"/>
          <w:lang w:val="es-MX"/>
        </w:rPr>
        <w:t>: Colaboradores por grupo ocupacional</w:t>
      </w:r>
    </w:p>
    <w:p w14:paraId="0B6A38A6" w14:textId="1A2CECD4" w:rsidR="00EF5D3F" w:rsidRPr="00232EBB" w:rsidRDefault="00EF5D3F" w:rsidP="00EF5D3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 xml:space="preserve">A diciembre 2025, la institución cuenta con un total de trescientos cincuenta y cinco (355) colaboradores activos. De este total, ciento treinta y nueve (139) son hombres, lo que representa el 39.5%, y doscientas dieciséis (216) son mujeres, equivalente al 61% del personal.  </w:t>
      </w:r>
    </w:p>
    <w:p w14:paraId="38804560" w14:textId="72B3FF5E" w:rsidR="00EF5D3F" w:rsidRPr="00232EBB" w:rsidRDefault="00EF5D3F" w:rsidP="00EF5D3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 xml:space="preserve">Dentro del Grupo Ocupacional V, se registran cuarenta y dos (42) mujeres, quienes representan el 20% del total de mujeres en la institución y el 58% del total de colaboradores pertenecientes a dicho grupo.  </w:t>
      </w:r>
    </w:p>
    <w:p w14:paraId="0A542EE1" w14:textId="67084B83" w:rsidR="00EF5D3F" w:rsidRPr="00232EBB" w:rsidRDefault="00E115EF" w:rsidP="00EF5D3F">
      <w:pPr>
        <w:pStyle w:val="Heading1"/>
        <w:spacing w:after="240"/>
        <w:jc w:val="left"/>
        <w:rPr>
          <w:rFonts w:eastAsiaTheme="minorHAnsi" w:cs="Times New Roman"/>
          <w:bCs/>
          <w:noProof/>
          <w:color w:val="808080" w:themeColor="background1" w:themeShade="80"/>
          <w:sz w:val="24"/>
          <w:szCs w:val="28"/>
          <w:lang w:val="es-MX"/>
        </w:rPr>
      </w:pPr>
      <w:bookmarkStart w:id="143" w:name="_Toc216263879"/>
      <w:bookmarkStart w:id="144" w:name="_Toc216952229"/>
      <w:bookmarkEnd w:id="124"/>
      <w:r w:rsidRPr="00232EBB">
        <w:rPr>
          <w:rFonts w:eastAsia="Calibri" w:cs="Times New Roman"/>
          <w:noProof/>
          <w:color w:val="FFFFFF" w:themeColor="background1"/>
          <w:sz w:val="18"/>
          <w:szCs w:val="18"/>
          <w:lang w:val="es-DO"/>
        </w:rPr>
        <w:lastRenderedPageBreak/>
        <w:drawing>
          <wp:anchor distT="0" distB="0" distL="114300" distR="114300" simplePos="0" relativeHeight="251686948" behindDoc="1" locked="0" layoutInCell="1" allowOverlap="1" wp14:anchorId="736332CD" wp14:editId="3C503067">
            <wp:simplePos x="0" y="0"/>
            <wp:positionH relativeFrom="margin">
              <wp:posOffset>20197</wp:posOffset>
            </wp:positionH>
            <wp:positionV relativeFrom="paragraph">
              <wp:posOffset>394335</wp:posOffset>
            </wp:positionV>
            <wp:extent cx="4778375" cy="2183130"/>
            <wp:effectExtent l="0" t="0" r="3175" b="0"/>
            <wp:wrapTight wrapText="bothSides">
              <wp:wrapPolygon edited="0">
                <wp:start x="0" y="0"/>
                <wp:lineTo x="0" y="21150"/>
                <wp:lineTo x="21528" y="21150"/>
                <wp:lineTo x="21528" y="0"/>
                <wp:lineTo x="0" y="0"/>
              </wp:wrapPolygon>
            </wp:wrapTight>
            <wp:docPr id="1860593134"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margin">
              <wp14:pctWidth>0</wp14:pctWidth>
            </wp14:sizeRelH>
            <wp14:sizeRelV relativeFrom="margin">
              <wp14:pctHeight>0</wp14:pctHeight>
            </wp14:sizeRelV>
          </wp:anchor>
        </w:drawing>
      </w:r>
      <w:r w:rsidR="00EF5D3F" w:rsidRPr="00232EBB">
        <w:rPr>
          <w:rFonts w:eastAsiaTheme="minorHAnsi" w:cs="Times New Roman"/>
          <w:bCs/>
          <w:noProof/>
          <w:color w:val="808080" w:themeColor="background1" w:themeShade="80"/>
          <w:sz w:val="24"/>
          <w:szCs w:val="28"/>
          <w:lang w:val="es-MX"/>
        </w:rPr>
        <w:t>Índice de Reclutamiento y Selección de Personal.</w:t>
      </w:r>
      <w:bookmarkEnd w:id="143"/>
      <w:bookmarkEnd w:id="144"/>
    </w:p>
    <w:p w14:paraId="5A97258F" w14:textId="5465F8D8" w:rsidR="00EF5D3F" w:rsidRPr="00232EBB" w:rsidRDefault="00EF5D3F" w:rsidP="000E2299">
      <w:pPr>
        <w:pStyle w:val="ListParagraph"/>
        <w:numPr>
          <w:ilvl w:val="0"/>
          <w:numId w:val="6"/>
        </w:numPr>
        <w:spacing w:after="120" w:line="240" w:lineRule="auto"/>
        <w:rPr>
          <w:rFonts w:ascii="Times New Roman" w:hAnsi="Times New Roman"/>
          <w:color w:val="1F3864" w:themeColor="accent1" w:themeShade="80"/>
          <w:sz w:val="2"/>
          <w:szCs w:val="2"/>
        </w:rPr>
      </w:pPr>
    </w:p>
    <w:p w14:paraId="1EB0AC23" w14:textId="33C2F273" w:rsidR="00EF5D3F" w:rsidRPr="00232EBB" w:rsidRDefault="00DE5E63" w:rsidP="00EF5D3F">
      <w:pPr>
        <w:pStyle w:val="NormalWeb"/>
        <w:spacing w:before="0" w:beforeAutospacing="0" w:after="0" w:afterAutospacing="0"/>
        <w:jc w:val="both"/>
        <w:rPr>
          <w:rFonts w:eastAsiaTheme="minorHAnsi"/>
          <w:noProof/>
          <w:color w:val="808080" w:themeColor="background1" w:themeShade="80"/>
          <w:spacing w:val="20"/>
          <w:sz w:val="14"/>
          <w:szCs w:val="16"/>
          <w:lang w:val="es-MX"/>
        </w:rPr>
      </w:pPr>
      <w:r w:rsidRPr="00232EBB">
        <w:rPr>
          <w:rFonts w:eastAsiaTheme="minorHAnsi"/>
          <w:b/>
          <w:bCs/>
          <w:noProof/>
          <w:color w:val="808080" w:themeColor="background1" w:themeShade="80"/>
          <w:spacing w:val="20"/>
          <w:sz w:val="18"/>
          <w:szCs w:val="20"/>
          <w:lang w:val="es-MX"/>
        </w:rPr>
        <w:t xml:space="preserve">Gráfico </w:t>
      </w:r>
      <w:r w:rsidR="00E14CB6" w:rsidRPr="00232EBB">
        <w:rPr>
          <w:rFonts w:eastAsiaTheme="minorHAnsi"/>
          <w:b/>
          <w:bCs/>
          <w:noProof/>
          <w:color w:val="808080" w:themeColor="background1" w:themeShade="80"/>
          <w:spacing w:val="20"/>
          <w:sz w:val="18"/>
          <w:szCs w:val="20"/>
          <w:lang w:val="es-MX"/>
        </w:rPr>
        <w:t>1</w:t>
      </w:r>
      <w:r w:rsidR="000743EE" w:rsidRPr="00232EBB">
        <w:rPr>
          <w:rFonts w:eastAsiaTheme="minorHAnsi"/>
          <w:b/>
          <w:bCs/>
          <w:noProof/>
          <w:color w:val="808080" w:themeColor="background1" w:themeShade="80"/>
          <w:spacing w:val="20"/>
          <w:sz w:val="18"/>
          <w:szCs w:val="20"/>
          <w:lang w:val="es-MX"/>
        </w:rPr>
        <w:t>4</w:t>
      </w:r>
      <w:r w:rsidRPr="00232EBB">
        <w:rPr>
          <w:rFonts w:eastAsiaTheme="minorHAnsi"/>
          <w:noProof/>
          <w:color w:val="808080" w:themeColor="background1" w:themeShade="80"/>
          <w:spacing w:val="20"/>
          <w:sz w:val="18"/>
          <w:szCs w:val="20"/>
          <w:lang w:val="es-MX"/>
        </w:rPr>
        <w:t xml:space="preserve">: </w:t>
      </w:r>
      <w:r w:rsidRPr="00232EBB">
        <w:rPr>
          <w:rFonts w:eastAsiaTheme="minorHAnsi"/>
          <w:bCs/>
          <w:noProof/>
          <w:color w:val="808080" w:themeColor="background1" w:themeShade="80"/>
          <w:sz w:val="18"/>
          <w:szCs w:val="20"/>
          <w:lang w:val="es-MX"/>
        </w:rPr>
        <w:t>Índice de reclutamiento y selección de personal.</w:t>
      </w:r>
    </w:p>
    <w:p w14:paraId="1E6D9DA3" w14:textId="77777777" w:rsidR="00DE5E63" w:rsidRPr="00232EBB" w:rsidRDefault="00DE5E63" w:rsidP="00EF5D3F">
      <w:pPr>
        <w:pStyle w:val="NormalWeb"/>
        <w:spacing w:before="0" w:beforeAutospacing="0" w:after="0" w:afterAutospacing="0"/>
        <w:jc w:val="both"/>
        <w:rPr>
          <w:rFonts w:eastAsiaTheme="minorHAnsi"/>
          <w:noProof/>
          <w:color w:val="808080" w:themeColor="background1" w:themeShade="80"/>
          <w:spacing w:val="20"/>
          <w:sz w:val="22"/>
          <w:lang w:val="es-MX"/>
        </w:rPr>
      </w:pPr>
    </w:p>
    <w:p w14:paraId="610039B7" w14:textId="68632E8A" w:rsidR="00EF5D3F" w:rsidRPr="00232EBB" w:rsidRDefault="00EF5D3F" w:rsidP="00EF5D3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 xml:space="preserve">Cerramos el año con un total general de treinta y tres (33) ingresos de personal, incluyendo fijos, temporeros y en periodo probatorio. De este total, la Dirección de Servicios reporta el mayor crecimiento, con siete (7) nuevos ingresos. </w:t>
      </w:r>
    </w:p>
    <w:p w14:paraId="4EE738DF" w14:textId="3FFD4EFB" w:rsidR="00EF5D3F" w:rsidRPr="00232EBB" w:rsidRDefault="00EF5D3F" w:rsidP="00EF5D3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 xml:space="preserve">Además de cubrir las vacantes generadas por salidas y otros movimientos ocurridos durante el presente año, gestionamos la cobertura de las vacantes que quedaron pendientes del año 2024. Para este objetivo, se estableció como meta alcanzar al menos el 80% de dichas contrataciones, lo que equivalía a 24 posiciones. </w:t>
      </w:r>
    </w:p>
    <w:p w14:paraId="696E65F0" w14:textId="77777777" w:rsidR="00EF5D3F" w:rsidRPr="00232EBB" w:rsidRDefault="00EF5D3F" w:rsidP="00EF5D3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Al cierre del año, logramos cubrir 25 vacantes, alcanzando un nivel de cumplimiento del 83%, lo que evidencia que superamos la meta propuesta y representa un desempeño por encima del 100% respecto a la totalidad de vacantes pendientes.</w:t>
      </w:r>
      <w:bookmarkStart w:id="145" w:name="_Toc216263880"/>
    </w:p>
    <w:p w14:paraId="4B24CFC7" w14:textId="0F5F8D3B" w:rsidR="00EF5D3F" w:rsidRPr="00232EBB" w:rsidRDefault="00EF5D3F" w:rsidP="00EF5D3F">
      <w:pPr>
        <w:spacing w:line="360" w:lineRule="auto"/>
        <w:jc w:val="both"/>
        <w:rPr>
          <w:b/>
          <w:bCs/>
          <w:noProof/>
          <w:color w:val="808080" w:themeColor="background1" w:themeShade="80"/>
          <w:szCs w:val="28"/>
          <w:lang w:val="es-MX"/>
        </w:rPr>
      </w:pPr>
      <w:r w:rsidRPr="00232EBB">
        <w:rPr>
          <w:b/>
          <w:bCs/>
          <w:noProof/>
          <w:color w:val="808080" w:themeColor="background1" w:themeShade="80"/>
          <w:szCs w:val="28"/>
          <w:lang w:val="es-MX"/>
        </w:rPr>
        <w:t>Incorporación a la Carrera Administrativa.</w:t>
      </w:r>
      <w:bookmarkEnd w:id="145"/>
    </w:p>
    <w:p w14:paraId="4835B6E4" w14:textId="77777777" w:rsidR="003E1BC1" w:rsidRPr="00232EBB" w:rsidRDefault="003E1BC1" w:rsidP="003E1BC1">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 xml:space="preserve">En atención a lo dispuesto en el Artículo 46 del Reglamento No. 251-15, se gestionó ante el Ministerio de Administración Pública (MAP) la autorización para el uso de los registros de elegibles correspondientes a dos concursos concluidos en el presente año. </w:t>
      </w:r>
    </w:p>
    <w:p w14:paraId="6DAE6331" w14:textId="561666C1" w:rsidR="00EF5D3F" w:rsidRPr="00232EBB" w:rsidRDefault="00EF5D3F" w:rsidP="00EF5D3F">
      <w:pPr>
        <w:spacing w:after="120" w:line="240" w:lineRule="auto"/>
        <w:jc w:val="center"/>
        <w:rPr>
          <w:noProof/>
          <w:color w:val="000000" w:themeColor="text1"/>
        </w:rPr>
      </w:pPr>
      <w:r w:rsidRPr="00232EBB">
        <w:rPr>
          <w:noProof/>
        </w:rPr>
        <w:lastRenderedPageBreak/>
        <w:drawing>
          <wp:inline distT="0" distB="0" distL="0" distR="0" wp14:anchorId="1A47570C" wp14:editId="69B6CBA3">
            <wp:extent cx="4645025" cy="2756848"/>
            <wp:effectExtent l="0" t="0" r="3175" b="5715"/>
            <wp:docPr id="139487732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04383C3" w14:textId="0A5A688A" w:rsidR="00DE5E63" w:rsidRPr="00232EBB" w:rsidRDefault="00DE5E63" w:rsidP="00DE5E63">
      <w:pPr>
        <w:pStyle w:val="NormalWeb"/>
        <w:spacing w:before="0" w:beforeAutospacing="0" w:after="0" w:afterAutospacing="0"/>
        <w:jc w:val="both"/>
        <w:rPr>
          <w:rFonts w:eastAsiaTheme="minorHAnsi"/>
          <w:noProof/>
          <w:color w:val="808080" w:themeColor="background1" w:themeShade="80"/>
          <w:spacing w:val="20"/>
          <w:sz w:val="18"/>
          <w:szCs w:val="20"/>
          <w:lang w:val="es-MX"/>
        </w:rPr>
      </w:pPr>
      <w:r w:rsidRPr="00232EBB">
        <w:rPr>
          <w:rFonts w:eastAsiaTheme="minorHAnsi"/>
          <w:b/>
          <w:bCs/>
          <w:noProof/>
          <w:color w:val="808080" w:themeColor="background1" w:themeShade="80"/>
          <w:spacing w:val="20"/>
          <w:sz w:val="18"/>
          <w:szCs w:val="20"/>
          <w:lang w:val="es-MX"/>
        </w:rPr>
        <w:t>Gráfico 1</w:t>
      </w:r>
      <w:r w:rsidR="000743EE" w:rsidRPr="00232EBB">
        <w:rPr>
          <w:rFonts w:eastAsiaTheme="minorHAnsi"/>
          <w:b/>
          <w:bCs/>
          <w:noProof/>
          <w:color w:val="808080" w:themeColor="background1" w:themeShade="80"/>
          <w:spacing w:val="20"/>
          <w:sz w:val="18"/>
          <w:szCs w:val="20"/>
          <w:lang w:val="es-MX"/>
        </w:rPr>
        <w:t>5</w:t>
      </w:r>
      <w:r w:rsidRPr="00232EBB">
        <w:rPr>
          <w:rFonts w:eastAsiaTheme="minorHAnsi"/>
          <w:noProof/>
          <w:color w:val="808080" w:themeColor="background1" w:themeShade="80"/>
          <w:spacing w:val="20"/>
          <w:sz w:val="18"/>
          <w:szCs w:val="20"/>
          <w:lang w:val="es-MX"/>
        </w:rPr>
        <w:t xml:space="preserve">: </w:t>
      </w:r>
      <w:r w:rsidR="00E43B56" w:rsidRPr="00232EBB">
        <w:rPr>
          <w:rFonts w:eastAsiaTheme="minorHAnsi"/>
          <w:noProof/>
          <w:color w:val="808080" w:themeColor="background1" w:themeShade="80"/>
          <w:spacing w:val="20"/>
          <w:sz w:val="18"/>
          <w:szCs w:val="20"/>
          <w:lang w:val="es-MX"/>
        </w:rPr>
        <w:t>Incorporación a la Carrera Administrativa</w:t>
      </w:r>
    </w:p>
    <w:p w14:paraId="66499747" w14:textId="77777777" w:rsidR="00EF5D3F" w:rsidRPr="00232EBB" w:rsidRDefault="00EF5D3F" w:rsidP="00EF5D3F">
      <w:pPr>
        <w:spacing w:after="120" w:line="240" w:lineRule="auto"/>
        <w:jc w:val="center"/>
        <w:rPr>
          <w:noProof/>
          <w:color w:val="000000" w:themeColor="text1"/>
          <w:lang w:val="es-MX"/>
        </w:rPr>
      </w:pPr>
    </w:p>
    <w:p w14:paraId="2F80F6C0" w14:textId="77777777" w:rsidR="00EF5D3F" w:rsidRPr="00232EBB" w:rsidRDefault="00EF5D3F" w:rsidP="00EF5D3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Como resultado de este proceso, fueron nombrados provisionalmente tres (3) servidores pertenecientes al Grupo Ocupacional IV, para ocupar los cargos de Supervisión de Fiscalización, Supervisor de Análisis y Perfilamiento del Empleador y Fiscalizador de Seguridad Social en la Dirección de Fiscalización Externa.</w:t>
      </w:r>
    </w:p>
    <w:p w14:paraId="0186F760" w14:textId="77777777" w:rsidR="00EF5D3F" w:rsidRPr="00232EBB" w:rsidRDefault="00EF5D3F" w:rsidP="00EF5D3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 xml:space="preserve">De igual forma, fueron nombrados de manera definitiva cuatro (4) servidores, los cuales corresponden a colaboradores de la TSS, quienes superaron satisfactoriamente el período probatorio establecido para su grupo ocupacional, requisito indispensable para su acreditación como Servidores de Carrera. </w:t>
      </w:r>
    </w:p>
    <w:p w14:paraId="01B33CFA" w14:textId="0DA810B0" w:rsidR="00CB5570" w:rsidRPr="00232EBB" w:rsidRDefault="00EF5D3F" w:rsidP="00836944">
      <w:pPr>
        <w:rPr>
          <w:b/>
          <w:bCs/>
          <w:noProof/>
          <w:color w:val="808080" w:themeColor="background1" w:themeShade="80"/>
          <w:szCs w:val="28"/>
          <w:lang w:val="es-MX"/>
        </w:rPr>
      </w:pPr>
      <w:bookmarkStart w:id="146" w:name="_Toc216263881"/>
      <w:r w:rsidRPr="00232EBB">
        <w:rPr>
          <w:b/>
          <w:bCs/>
          <w:noProof/>
          <w:color w:val="808080" w:themeColor="background1" w:themeShade="80"/>
          <w:szCs w:val="28"/>
          <w:lang w:val="es-MX"/>
        </w:rPr>
        <w:t>Índice de Rotación</w:t>
      </w:r>
      <w:bookmarkEnd w:id="146"/>
    </w:p>
    <w:p w14:paraId="66185E19" w14:textId="5E154153" w:rsidR="00232EBB" w:rsidRPr="00232EBB" w:rsidRDefault="00232EBB" w:rsidP="00CB5570">
      <w:pPr>
        <w:pStyle w:val="NormalWeb"/>
        <w:spacing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Durante el período enero-diciembre 2025, se registraron un total de veinte (20) salidas de personal, distribuidas de la siguiente manera: diez (10) desvinculaciones por conveniencia institucional, ocho (8) renuncias voluntarias y dos (2) finalizaciones de contrato por cobertura de licencia pre y postnatal.</w:t>
      </w:r>
    </w:p>
    <w:p w14:paraId="43426ABE" w14:textId="0AEC07E8" w:rsidR="00EF5D3F" w:rsidRPr="00232EBB" w:rsidRDefault="00EF5D3F" w:rsidP="00CB5570">
      <w:pPr>
        <w:pStyle w:val="NormalWeb"/>
        <w:spacing w:line="360" w:lineRule="auto"/>
        <w:jc w:val="both"/>
        <w:rPr>
          <w:rFonts w:eastAsiaTheme="minorHAnsi"/>
          <w:b/>
          <w:bCs/>
          <w:noProof/>
          <w:color w:val="808080" w:themeColor="background1" w:themeShade="80"/>
          <w:spacing w:val="20"/>
          <w:szCs w:val="28"/>
          <w:lang w:val="es-MX"/>
        </w:rPr>
      </w:pPr>
    </w:p>
    <w:p w14:paraId="2AE70BA4" w14:textId="7CB6544A" w:rsidR="00232EBB" w:rsidRPr="00232EBB" w:rsidRDefault="00232EBB" w:rsidP="00895958">
      <w:pPr>
        <w:rPr>
          <w:b/>
          <w:bCs/>
          <w:noProof/>
          <w:color w:val="808080" w:themeColor="background1" w:themeShade="80"/>
          <w:sz w:val="20"/>
          <w:szCs w:val="20"/>
          <w:lang w:val="es-MX"/>
        </w:rPr>
      </w:pPr>
      <w:r w:rsidRPr="00232EBB">
        <w:rPr>
          <w:noProof/>
          <w:sz w:val="28"/>
          <w:szCs w:val="28"/>
        </w:rPr>
        <w:lastRenderedPageBreak/>
        <w:drawing>
          <wp:anchor distT="0" distB="0" distL="114300" distR="114300" simplePos="0" relativeHeight="251711524" behindDoc="0" locked="0" layoutInCell="1" allowOverlap="1" wp14:anchorId="79CC9730" wp14:editId="38D0F377">
            <wp:simplePos x="0" y="0"/>
            <wp:positionH relativeFrom="margin">
              <wp:posOffset>0</wp:posOffset>
            </wp:positionH>
            <wp:positionV relativeFrom="paragraph">
              <wp:posOffset>255270</wp:posOffset>
            </wp:positionV>
            <wp:extent cx="4819650" cy="2938145"/>
            <wp:effectExtent l="0" t="0" r="0" b="14605"/>
            <wp:wrapThrough wrapText="bothSides">
              <wp:wrapPolygon edited="0">
                <wp:start x="0" y="0"/>
                <wp:lineTo x="0" y="21567"/>
                <wp:lineTo x="21515" y="21567"/>
                <wp:lineTo x="21515" y="0"/>
                <wp:lineTo x="0" y="0"/>
              </wp:wrapPolygon>
            </wp:wrapThrough>
            <wp:docPr id="1766812491"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page">
              <wp14:pctWidth>0</wp14:pctWidth>
            </wp14:sizeRelH>
            <wp14:sizeRelV relativeFrom="page">
              <wp14:pctHeight>0</wp14:pctHeight>
            </wp14:sizeRelV>
          </wp:anchor>
        </w:drawing>
      </w:r>
    </w:p>
    <w:p w14:paraId="08FD7160" w14:textId="03172B5C" w:rsidR="00EF5D3F" w:rsidRPr="00232EBB" w:rsidRDefault="00E43B56" w:rsidP="00895958">
      <w:pPr>
        <w:rPr>
          <w:noProof/>
          <w:color w:val="000000" w:themeColor="text1"/>
          <w:sz w:val="20"/>
          <w:szCs w:val="20"/>
          <w:lang w:val="es-DO"/>
        </w:rPr>
      </w:pPr>
      <w:r w:rsidRPr="00232EBB">
        <w:rPr>
          <w:b/>
          <w:bCs/>
          <w:noProof/>
          <w:color w:val="808080" w:themeColor="background1" w:themeShade="80"/>
          <w:sz w:val="20"/>
          <w:szCs w:val="20"/>
          <w:lang w:val="es-MX"/>
        </w:rPr>
        <w:t>Gráfico 1</w:t>
      </w:r>
      <w:r w:rsidR="000743EE" w:rsidRPr="00232EBB">
        <w:rPr>
          <w:b/>
          <w:bCs/>
          <w:noProof/>
          <w:color w:val="808080" w:themeColor="background1" w:themeShade="80"/>
          <w:sz w:val="20"/>
          <w:szCs w:val="20"/>
          <w:lang w:val="es-MX"/>
        </w:rPr>
        <w:t>6</w:t>
      </w:r>
      <w:r w:rsidRPr="00232EBB">
        <w:rPr>
          <w:noProof/>
          <w:color w:val="808080" w:themeColor="background1" w:themeShade="80"/>
          <w:sz w:val="20"/>
          <w:szCs w:val="20"/>
          <w:lang w:val="es-MX"/>
        </w:rPr>
        <w:t xml:space="preserve">: Salidas de personal </w:t>
      </w:r>
    </w:p>
    <w:p w14:paraId="57BF40BC" w14:textId="5C52811C" w:rsidR="00EF5D3F" w:rsidRPr="00232EBB" w:rsidRDefault="00EF5D3F" w:rsidP="00232EBB">
      <w:pPr>
        <w:pStyle w:val="NormalWeb"/>
        <w:spacing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Las unidades organizativas con mayor concentración de rotación fueron la Dirección Administrativa, con seis (6) salidas, y las Direcciones de Gestión de Normas, Cumplimiento y Ciberseguridad y Tecnologias de la Informacion y Comunicación con tres (3) salidas cada una.</w:t>
      </w:r>
    </w:p>
    <w:p w14:paraId="39F4FD66" w14:textId="40D14D51" w:rsidR="003E1BC1" w:rsidRPr="00232EBB" w:rsidRDefault="00EF5D3F" w:rsidP="00232EBB">
      <w:pPr>
        <w:pStyle w:val="NormalWeb"/>
        <w:spacing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El índice de rotación de personal (IRP) correspondiente al año 2025 fue de 6%, del cual el 0.40% corresponde a renuncias voluntarias. En comparación con el año 2024, que presentó un IRP de 5%, se evidencia un aumento de 1.0 puntos porcentuales. No obstante, este comportamiento continúa demostrando la solidez del entorno laboral en la institución.</w:t>
      </w:r>
      <w:bookmarkStart w:id="147" w:name="_Toc216263882"/>
    </w:p>
    <w:p w14:paraId="31A77FC9" w14:textId="6649D81F" w:rsidR="00EF5D3F" w:rsidRPr="00232EBB" w:rsidRDefault="00EF5D3F" w:rsidP="00681956">
      <w:pPr>
        <w:pStyle w:val="Heading1"/>
        <w:spacing w:before="0"/>
        <w:jc w:val="left"/>
        <w:rPr>
          <w:rFonts w:eastAsiaTheme="minorHAnsi" w:cs="Times New Roman"/>
          <w:bCs/>
          <w:noProof/>
          <w:color w:val="808080" w:themeColor="background1" w:themeShade="80"/>
          <w:sz w:val="24"/>
          <w:szCs w:val="28"/>
          <w:lang w:val="es-MX"/>
        </w:rPr>
      </w:pPr>
      <w:bookmarkStart w:id="148" w:name="_Toc216952230"/>
      <w:r w:rsidRPr="00232EBB">
        <w:rPr>
          <w:rFonts w:eastAsiaTheme="minorHAnsi" w:cs="Times New Roman"/>
          <w:bCs/>
          <w:noProof/>
          <w:color w:val="808080" w:themeColor="background1" w:themeShade="80"/>
          <w:sz w:val="24"/>
          <w:szCs w:val="28"/>
          <w:lang w:val="es-MX"/>
        </w:rPr>
        <w:t>Crecimiento TSS</w:t>
      </w:r>
      <w:bookmarkEnd w:id="147"/>
      <w:bookmarkEnd w:id="148"/>
    </w:p>
    <w:p w14:paraId="06601AF2" w14:textId="7A7BDC06" w:rsidR="003E1BC1" w:rsidRPr="00232EBB" w:rsidRDefault="003E1BC1" w:rsidP="00681956">
      <w:pPr>
        <w:pStyle w:val="NormalWeb"/>
        <w:spacing w:before="0" w:beforeAutospacing="0" w:after="20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 xml:space="preserve">En nuestra institución valoramos profundamente el crecimiento y desarrollo de nuestro personal, reconociendo que su progreso fortalece nuestras capacidades, impulsa la motivación y consolida una cultura basada en el mérito y las oportunidades. Promover el </w:t>
      </w:r>
      <w:r w:rsidRPr="00232EBB">
        <w:rPr>
          <w:rFonts w:eastAsiaTheme="minorHAnsi"/>
          <w:noProof/>
          <w:color w:val="808080" w:themeColor="background1" w:themeShade="80"/>
          <w:spacing w:val="20"/>
          <w:szCs w:val="28"/>
          <w:lang w:val="es-MX"/>
        </w:rPr>
        <w:lastRenderedPageBreak/>
        <w:t>talento interno es una prioridad que contribuye directamente al logro de nuestros objetivos estratégicos.</w:t>
      </w:r>
    </w:p>
    <w:p w14:paraId="01DE0695" w14:textId="2E8608E0" w:rsidR="00EF5D3F" w:rsidRPr="00232EBB" w:rsidRDefault="003E1BC1" w:rsidP="003E1BC1">
      <w:pPr>
        <w:rPr>
          <w:color w:val="1F3864" w:themeColor="accent1" w:themeShade="80"/>
          <w:sz w:val="2"/>
          <w:szCs w:val="2"/>
        </w:rPr>
      </w:pPr>
      <w:r w:rsidRPr="00232EBB">
        <w:rPr>
          <w:noProof/>
        </w:rPr>
        <w:drawing>
          <wp:inline distT="0" distB="0" distL="0" distR="0" wp14:anchorId="670F40DB" wp14:editId="7FF22638">
            <wp:extent cx="4817110" cy="2838735"/>
            <wp:effectExtent l="0" t="0" r="2540" b="0"/>
            <wp:docPr id="1411985741" name="Chart 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344A363" w14:textId="682A90F4" w:rsidR="00E43B56" w:rsidRPr="00232EBB" w:rsidRDefault="00E43B56" w:rsidP="00895958">
      <w:pPr>
        <w:rPr>
          <w:noProof/>
          <w:color w:val="000000" w:themeColor="text1"/>
          <w:sz w:val="20"/>
          <w:szCs w:val="20"/>
          <w:lang w:val="es-DO"/>
        </w:rPr>
      </w:pPr>
      <w:r w:rsidRPr="00232EBB">
        <w:rPr>
          <w:b/>
          <w:bCs/>
          <w:noProof/>
          <w:color w:val="808080" w:themeColor="background1" w:themeShade="80"/>
          <w:sz w:val="20"/>
          <w:szCs w:val="20"/>
          <w:lang w:val="es-MX"/>
        </w:rPr>
        <w:t>Gráfico 1</w:t>
      </w:r>
      <w:r w:rsidR="000743EE" w:rsidRPr="00232EBB">
        <w:rPr>
          <w:b/>
          <w:bCs/>
          <w:noProof/>
          <w:color w:val="808080" w:themeColor="background1" w:themeShade="80"/>
          <w:sz w:val="20"/>
          <w:szCs w:val="20"/>
          <w:lang w:val="es-MX"/>
        </w:rPr>
        <w:t>7</w:t>
      </w:r>
      <w:r w:rsidRPr="00232EBB">
        <w:rPr>
          <w:noProof/>
          <w:color w:val="808080" w:themeColor="background1" w:themeShade="80"/>
          <w:sz w:val="20"/>
          <w:szCs w:val="20"/>
          <w:lang w:val="es-MX"/>
        </w:rPr>
        <w:t xml:space="preserve">: Crecimiento Personal TSS </w:t>
      </w:r>
    </w:p>
    <w:p w14:paraId="36621CCF" w14:textId="77777777" w:rsidR="00EF5D3F" w:rsidRPr="00232EBB" w:rsidRDefault="00EF5D3F" w:rsidP="00232EBB">
      <w:pPr>
        <w:pStyle w:val="NormalWeb"/>
        <w:spacing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En consonancia con lo establecido en la Resolución 230-2021, que aprueba el Instructivo para Ascensos y Promociones en la Carrera Administrativa General, durante este año fueron promovidos cuatro (4) servidores de carrera del Grupo Ocupacional IV (GO IV), pertenecientes a las Direcciones de Servicios y Fiscalización Externa. Asimismo, dos (2) colaboradores fueron nombrados bajo la modalidad de suplencia para ocupar de manera interina cargos pertenecientes a los GO IV y V, en las Direcciones de Tecnologías de la Información y Comunicación y Administrativa.</w:t>
      </w:r>
    </w:p>
    <w:p w14:paraId="6CF812AE" w14:textId="77777777" w:rsidR="00EF5D3F" w:rsidRPr="00232EBB" w:rsidRDefault="00EF5D3F" w:rsidP="00232EBB">
      <w:pPr>
        <w:pStyle w:val="NormalWeb"/>
        <w:spacing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A su vez, nueve (9) colaboradores tuvieron cambios de designación, de los cuales cinco (5) fueron resultado de procesos de concursos internos. Estos cambios correspondieron a cargos en las Direcciones de Servicios, Recursos Humanos, Fiscalización Externa, Gestión de Normas y Cumplimiento, así como en el Departamento de Fiscalización Interna.</w:t>
      </w:r>
    </w:p>
    <w:p w14:paraId="03F19A1F" w14:textId="77777777" w:rsidR="00EF5D3F" w:rsidRPr="00232EBB" w:rsidRDefault="00EF5D3F" w:rsidP="00232EBB">
      <w:pPr>
        <w:pStyle w:val="NormalWeb"/>
        <w:spacing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lastRenderedPageBreak/>
        <w:t>Por último, con el propósito de cubrir cargos vacantes con vocación de carrera, fueron nombrados bajo la modalidad de interinato nueve (9) colaboradores, correspondientes a las Direcciones de Servicios, Tecnologías de la Información y Comunicación, Fiscalización Externa, Financiera y Administrativa, así como un (1) interinato adicional para cubrir una licencia postnatal en la Dirección de Recursos Humanos.</w:t>
      </w:r>
    </w:p>
    <w:p w14:paraId="6C0A2F43" w14:textId="77777777" w:rsidR="00D960CD" w:rsidRPr="00232EBB" w:rsidRDefault="00EF5D3F" w:rsidP="00232EBB">
      <w:pPr>
        <w:pStyle w:val="NormalWeb"/>
        <w:spacing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En total, estos movimientos ascienden a veinticinco (25) durante el año, de los cuales cinco (5) corresponden a cargos pertenecientes al Grupo Ocupacional V, lo que evidencia la apertura brindada a nuestros colaboradores para asumir roles de liderazgo, gestión de personas y toma de decisiones.</w:t>
      </w:r>
      <w:bookmarkStart w:id="149" w:name="_Toc216263884"/>
    </w:p>
    <w:p w14:paraId="029ABC95" w14:textId="1B480C60" w:rsidR="00B0241D" w:rsidRPr="00232EBB" w:rsidRDefault="00EF5D3F" w:rsidP="009B14EB">
      <w:pPr>
        <w:pStyle w:val="Heading1"/>
        <w:spacing w:after="160"/>
        <w:jc w:val="left"/>
        <w:rPr>
          <w:rFonts w:eastAsiaTheme="minorHAnsi" w:cs="Times New Roman"/>
          <w:b w:val="0"/>
          <w:noProof/>
          <w:color w:val="808080" w:themeColor="background1" w:themeShade="80"/>
          <w:sz w:val="24"/>
          <w:szCs w:val="28"/>
          <w:lang w:val="es-MX"/>
        </w:rPr>
      </w:pPr>
      <w:bookmarkStart w:id="150" w:name="_Toc216263885"/>
      <w:bookmarkStart w:id="151" w:name="_Toc216952231"/>
      <w:bookmarkEnd w:id="149"/>
      <w:r w:rsidRPr="00232EBB">
        <w:rPr>
          <w:rFonts w:eastAsiaTheme="minorHAnsi" w:cs="Times New Roman"/>
          <w:bCs/>
          <w:noProof/>
          <w:color w:val="808080" w:themeColor="background1" w:themeShade="80"/>
          <w:sz w:val="24"/>
          <w:szCs w:val="28"/>
          <w:lang w:val="es-MX"/>
        </w:rPr>
        <w:t>Implementación Proceso de Debida Diligencia</w:t>
      </w:r>
      <w:r w:rsidRPr="00232EBB">
        <w:rPr>
          <w:rFonts w:eastAsiaTheme="minorHAnsi" w:cs="Times New Roman"/>
          <w:b w:val="0"/>
          <w:noProof/>
          <w:color w:val="808080" w:themeColor="background1" w:themeShade="80"/>
          <w:sz w:val="24"/>
          <w:szCs w:val="28"/>
          <w:lang w:val="es-MX"/>
        </w:rPr>
        <w:t>.</w:t>
      </w:r>
      <w:bookmarkEnd w:id="150"/>
      <w:bookmarkEnd w:id="151"/>
    </w:p>
    <w:p w14:paraId="3990941D" w14:textId="77777777" w:rsidR="00EF5D3F" w:rsidRPr="00232EBB" w:rsidRDefault="00EF5D3F" w:rsidP="00232EBB">
      <w:pPr>
        <w:pStyle w:val="NormalWeb"/>
        <w:spacing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La institución se encuentra actualmente en proceso de certificación en las normas ISO 37001: Sistema de Gestión Antisoborno e ISO 37301: Sistema de Gestión de Cumplimiento, lo cual ha implicado la implementación de diversos mecanismos de control orientados a fortalecer la integridad institucional. Entre estos mecanismos se destaca la debida diligencia, reconocida como una herramienta clave para prevenir, detectar y gestionar riesgos asociados al soborno y al incumplimiento normativo.</w:t>
      </w:r>
    </w:p>
    <w:p w14:paraId="7A8EF0AD" w14:textId="036A9E5E" w:rsidR="00EF5D3F" w:rsidRPr="00232EBB" w:rsidRDefault="00EF5D3F" w:rsidP="00232EBB">
      <w:pPr>
        <w:pStyle w:val="NormalWeb"/>
        <w:spacing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La debida diligencia comprende un conjunto de procesos, prácticas y controles diseñados para verificar, evaluar y mitigar riesgos antes de adoptar decisiones administrativas, financieras, contractuales o relacionadas con la gestión del talento humano. Su objetivo principal es asegurar la transparencia, legalidad, integridad y eficiencia en la gestión pública.</w:t>
      </w:r>
    </w:p>
    <w:p w14:paraId="10B16EB6" w14:textId="6D20332B" w:rsidR="00EF5D3F" w:rsidRPr="00232EBB" w:rsidRDefault="00EF5D3F" w:rsidP="00232EBB">
      <w:pPr>
        <w:pStyle w:val="NormalWeb"/>
        <w:spacing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 xml:space="preserve">Durante el primer trimestre del año, la Dirección de Recursos Humanos inició la implementación de este control aplicándolo a la </w:t>
      </w:r>
      <w:r w:rsidRPr="00232EBB">
        <w:rPr>
          <w:rFonts w:eastAsiaTheme="minorHAnsi"/>
          <w:noProof/>
          <w:color w:val="808080" w:themeColor="background1" w:themeShade="80"/>
          <w:spacing w:val="20"/>
          <w:szCs w:val="28"/>
          <w:lang w:val="es-MX"/>
        </w:rPr>
        <w:lastRenderedPageBreak/>
        <w:t>totalidad del personal institucional. Tras concluir la etapa de sensibilización, a cada colaborador se le aplicó un formulario de debida diligencia simplificada, el cual fue posteriormente evaluado y validado por el equipo de Recursos Humanos.</w:t>
      </w:r>
    </w:p>
    <w:p w14:paraId="4EEFD19F" w14:textId="4B51DE32" w:rsidR="00EF5D3F" w:rsidRPr="00232EBB" w:rsidRDefault="00EF5D3F" w:rsidP="00232EBB">
      <w:pPr>
        <w:pStyle w:val="NormalWeb"/>
        <w:spacing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 xml:space="preserve">Al cierre del año, este proceso se ha aplicado a un total de 372 colaboradores, identificándose los hallazgos mostrados en la </w:t>
      </w:r>
      <w:r w:rsidR="0076370C" w:rsidRPr="00232EBB">
        <w:rPr>
          <w:rFonts w:eastAsiaTheme="minorHAnsi"/>
          <w:noProof/>
          <w:color w:val="808080" w:themeColor="background1" w:themeShade="80"/>
          <w:spacing w:val="20"/>
          <w:szCs w:val="28"/>
          <w:lang w:val="es-MX"/>
        </w:rPr>
        <w:t>tabla</w:t>
      </w:r>
      <w:r w:rsidRPr="00232EBB">
        <w:rPr>
          <w:rFonts w:eastAsiaTheme="minorHAnsi"/>
          <w:noProof/>
          <w:color w:val="808080" w:themeColor="background1" w:themeShade="80"/>
          <w:spacing w:val="20"/>
          <w:szCs w:val="28"/>
          <w:lang w:val="es-MX"/>
        </w:rPr>
        <w:t xml:space="preserve"> </w:t>
      </w:r>
      <w:r w:rsidR="0076370C" w:rsidRPr="00232EBB">
        <w:rPr>
          <w:rFonts w:eastAsiaTheme="minorHAnsi"/>
          <w:noProof/>
          <w:color w:val="808080" w:themeColor="background1" w:themeShade="80"/>
          <w:spacing w:val="20"/>
          <w:szCs w:val="28"/>
          <w:lang w:val="es-MX"/>
        </w:rPr>
        <w:t>anterior.</w:t>
      </w:r>
    </w:p>
    <w:p w14:paraId="6149AB3C" w14:textId="77777777" w:rsidR="00EF5D3F" w:rsidRPr="00232EBB" w:rsidRDefault="00EF5D3F" w:rsidP="00232EBB">
      <w:pPr>
        <w:pStyle w:val="NormalWeb"/>
        <w:spacing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 xml:space="preserve">Como parte de las mejoras al proceso de Reclutamiento y Selección, se creó la Matriz de Personal Vinculado, la cual detalla los colaboradores identificados con vínculos a proveedores del Estado y personas políticamente expuestas. </w:t>
      </w:r>
    </w:p>
    <w:p w14:paraId="623AFAE8" w14:textId="77777777" w:rsidR="00EF5D3F" w:rsidRPr="00232EBB" w:rsidRDefault="00EF5D3F" w:rsidP="00232EBB">
      <w:pPr>
        <w:pStyle w:val="NormalWeb"/>
        <w:spacing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Estas matrices fueron remitidas al Departamento de Compras y Contrataciones, con el fin de evitar la participación de dichos colaboradores en procesos de adquisición institucional, y al Departamento de Cumplimiento Normativo, para fines de observación y seguimiento continuo.</w:t>
      </w:r>
    </w:p>
    <w:p w14:paraId="0BB87585" w14:textId="77777777" w:rsidR="00EF5D3F" w:rsidRPr="00232EBB" w:rsidRDefault="00EF5D3F" w:rsidP="00232EBB">
      <w:pPr>
        <w:pStyle w:val="NormalWeb"/>
        <w:spacing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 xml:space="preserve">Con relación a los colaboradores que figuran como representantes del SUIR, se les solicitó formalmente proceder con su desvinculación del sistema. </w:t>
      </w:r>
    </w:p>
    <w:p w14:paraId="3E811D9F" w14:textId="77777777" w:rsidR="00EF5D3F" w:rsidRPr="00232EBB" w:rsidRDefault="00EF5D3F" w:rsidP="00232EBB">
      <w:pPr>
        <w:pStyle w:val="NormalWeb"/>
        <w:spacing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La debida diligencia también se está aplicando a los candidatos preseleccionados en los procesos de reclutamiento y selección, con la finalidad de detectar oportunamente posibles conflictos de interés u otros hallazgos relevantes para la toma de decisiones.</w:t>
      </w:r>
    </w:p>
    <w:p w14:paraId="7A5A4057" w14:textId="77777777" w:rsidR="00EF5D3F" w:rsidRDefault="00EF5D3F" w:rsidP="00232EBB">
      <w:pPr>
        <w:pStyle w:val="NormalWeb"/>
        <w:spacing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Estas acciones contribuyen a reforzar el compromiso institucional con la transparencia, el cumplimiento normativo y la prevención de conflictos de interés.</w:t>
      </w:r>
    </w:p>
    <w:p w14:paraId="745EAFD0" w14:textId="77777777" w:rsidR="00F65B16" w:rsidRPr="00232EBB" w:rsidRDefault="00F65B16" w:rsidP="00232EBB">
      <w:pPr>
        <w:pStyle w:val="NormalWeb"/>
        <w:spacing w:line="360" w:lineRule="auto"/>
        <w:jc w:val="both"/>
        <w:rPr>
          <w:rFonts w:eastAsiaTheme="minorHAnsi"/>
          <w:noProof/>
          <w:color w:val="808080" w:themeColor="background1" w:themeShade="80"/>
          <w:spacing w:val="20"/>
          <w:szCs w:val="28"/>
          <w:lang w:val="es-MX"/>
        </w:rPr>
      </w:pPr>
    </w:p>
    <w:p w14:paraId="6101E2F6" w14:textId="4E037B90" w:rsidR="00CB11EA" w:rsidRPr="00232EBB" w:rsidRDefault="00CB11EA" w:rsidP="00280B1F">
      <w:pPr>
        <w:pStyle w:val="NormalWeb"/>
        <w:spacing w:before="0" w:beforeAutospacing="0" w:after="120" w:afterAutospacing="0" w:line="360" w:lineRule="auto"/>
        <w:jc w:val="both"/>
        <w:rPr>
          <w:rFonts w:eastAsiaTheme="minorHAnsi"/>
          <w:b/>
          <w:bCs/>
          <w:noProof/>
          <w:color w:val="808080" w:themeColor="background1" w:themeShade="80"/>
          <w:spacing w:val="20"/>
          <w:szCs w:val="28"/>
          <w:lang w:val="es-MX"/>
        </w:rPr>
      </w:pPr>
      <w:bookmarkStart w:id="152" w:name="_Toc216263892"/>
      <w:r w:rsidRPr="00232EBB">
        <w:rPr>
          <w:rFonts w:eastAsiaTheme="minorHAnsi"/>
          <w:b/>
          <w:bCs/>
          <w:noProof/>
          <w:color w:val="808080" w:themeColor="background1" w:themeShade="80"/>
          <w:spacing w:val="20"/>
          <w:szCs w:val="28"/>
          <w:lang w:val="es-MX"/>
        </w:rPr>
        <w:lastRenderedPageBreak/>
        <w:t>Programa de Reconocimiento.</w:t>
      </w:r>
      <w:bookmarkEnd w:id="152"/>
    </w:p>
    <w:p w14:paraId="206CEC68" w14:textId="77777777" w:rsidR="00CB11EA" w:rsidRPr="00232EBB" w:rsidRDefault="00CB11EA" w:rsidP="00280B1F">
      <w:pPr>
        <w:pStyle w:val="NormalWeb"/>
        <w:spacing w:before="0" w:beforeAutospacing="0" w:after="12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El Programa de Reconocimiento Laboral tiene como objetivo principal establecer mecanismos eficaces de motivación, orientados a fortalecer la autoestima, la autoconfianza, el desempeño, el clima organizacional y el bienestar general de nuestros colaboradores. Para garantizar una evaluación objetiva y transparente, se ha conformado un Comité Evaluador, responsable de recibir, revisar, analizar y valorar las propuestas de reconocimiento presentadas.</w:t>
      </w:r>
    </w:p>
    <w:p w14:paraId="0DB620FC" w14:textId="77777777" w:rsidR="00CB11EA" w:rsidRPr="00232EBB" w:rsidRDefault="00CB11EA" w:rsidP="00280B1F">
      <w:pPr>
        <w:pStyle w:val="NormalWeb"/>
        <w:spacing w:before="0" w:beforeAutospacing="0" w:after="120" w:afterAutospacing="0" w:line="360" w:lineRule="auto"/>
        <w:jc w:val="both"/>
        <w:rPr>
          <w:rFonts w:eastAsiaTheme="minorHAnsi"/>
          <w:noProof/>
          <w:color w:val="808080" w:themeColor="background1" w:themeShade="80"/>
          <w:spacing w:val="20"/>
          <w:sz w:val="22"/>
          <w:lang w:val="es-MX"/>
        </w:rPr>
      </w:pPr>
      <w:r w:rsidRPr="00232EBB">
        <w:rPr>
          <w:rFonts w:eastAsiaTheme="minorHAnsi"/>
          <w:noProof/>
          <w:color w:val="808080" w:themeColor="background1" w:themeShade="80"/>
          <w:spacing w:val="20"/>
          <w:szCs w:val="28"/>
          <w:lang w:val="es-MX"/>
        </w:rPr>
        <w:t>El programa contempla cinco (5) categorías de reconocimiento</w:t>
      </w:r>
      <w:r w:rsidRPr="00232EBB">
        <w:rPr>
          <w:rFonts w:eastAsiaTheme="minorHAnsi"/>
          <w:noProof/>
          <w:color w:val="808080" w:themeColor="background1" w:themeShade="80"/>
          <w:spacing w:val="20"/>
          <w:sz w:val="22"/>
          <w:lang w:val="es-MX"/>
        </w:rPr>
        <w:t xml:space="preserve">: </w:t>
      </w:r>
    </w:p>
    <w:tbl>
      <w:tblPr>
        <w:tblStyle w:val="TableGrid2"/>
        <w:tblpPr w:leftFromText="180" w:rightFromText="180" w:vertAnchor="text" w:horzAnchor="margin" w:tblpXSpec="center" w:tblpY="94"/>
        <w:tblW w:w="4815" w:type="dxa"/>
        <w:tblLook w:val="04A0" w:firstRow="1" w:lastRow="0" w:firstColumn="1" w:lastColumn="0" w:noHBand="0" w:noVBand="1"/>
      </w:tblPr>
      <w:tblGrid>
        <w:gridCol w:w="2263"/>
        <w:gridCol w:w="2552"/>
      </w:tblGrid>
      <w:tr w:rsidR="00CB11EA" w:rsidRPr="00232EBB" w14:paraId="0088D0EB" w14:textId="77777777" w:rsidTr="00F65B16">
        <w:trPr>
          <w:trHeight w:val="419"/>
        </w:trPr>
        <w:tc>
          <w:tcPr>
            <w:tcW w:w="2263" w:type="dxa"/>
            <w:shd w:val="clear" w:color="auto" w:fill="002060"/>
            <w:vAlign w:val="center"/>
          </w:tcPr>
          <w:p w14:paraId="1F1C16CD" w14:textId="77777777" w:rsidR="00CB11EA" w:rsidRPr="00232EBB" w:rsidRDefault="00CB11EA" w:rsidP="00F65B16">
            <w:pPr>
              <w:pStyle w:val="NormalWeb"/>
              <w:spacing w:before="0" w:beforeAutospacing="0" w:after="120" w:afterAutospacing="0" w:line="360" w:lineRule="auto"/>
              <w:jc w:val="center"/>
              <w:rPr>
                <w:rFonts w:ascii="Times New Roman" w:eastAsiaTheme="minorHAnsi" w:hAnsi="Times New Roman" w:cs="Times New Roman"/>
                <w:b/>
                <w:bCs/>
                <w:noProof/>
                <w:color w:val="FFFFFF" w:themeColor="background1"/>
                <w:spacing w:val="20"/>
                <w:kern w:val="0"/>
                <w:szCs w:val="24"/>
                <w:lang w:val="es-MX"/>
                <w14:ligatures w14:val="none"/>
              </w:rPr>
            </w:pPr>
            <w:r w:rsidRPr="00232EBB">
              <w:rPr>
                <w:rFonts w:ascii="Times New Roman" w:eastAsiaTheme="minorHAnsi" w:hAnsi="Times New Roman" w:cs="Times New Roman"/>
                <w:b/>
                <w:bCs/>
                <w:noProof/>
                <w:color w:val="FFFFFF" w:themeColor="background1"/>
                <w:spacing w:val="20"/>
                <w:kern w:val="0"/>
                <w:szCs w:val="24"/>
                <w:lang w:val="es-MX"/>
                <w14:ligatures w14:val="none"/>
              </w:rPr>
              <w:t>Labor Destacada</w:t>
            </w:r>
          </w:p>
        </w:tc>
        <w:tc>
          <w:tcPr>
            <w:tcW w:w="2552" w:type="dxa"/>
            <w:shd w:val="clear" w:color="auto" w:fill="002060"/>
            <w:vAlign w:val="center"/>
          </w:tcPr>
          <w:p w14:paraId="13A3733E" w14:textId="77777777" w:rsidR="00CB11EA" w:rsidRPr="00232EBB" w:rsidRDefault="00CB11EA" w:rsidP="00F65B16">
            <w:pPr>
              <w:pStyle w:val="NormalWeb"/>
              <w:spacing w:before="0" w:beforeAutospacing="0" w:after="120" w:afterAutospacing="0" w:line="360" w:lineRule="auto"/>
              <w:jc w:val="center"/>
              <w:rPr>
                <w:rFonts w:ascii="Times New Roman" w:eastAsiaTheme="minorHAnsi" w:hAnsi="Times New Roman" w:cs="Times New Roman"/>
                <w:b/>
                <w:bCs/>
                <w:noProof/>
                <w:color w:val="FFFFFF" w:themeColor="background1"/>
                <w:spacing w:val="20"/>
                <w:kern w:val="0"/>
                <w:szCs w:val="24"/>
                <w:lang w:val="es-MX"/>
                <w14:ligatures w14:val="none"/>
              </w:rPr>
            </w:pPr>
            <w:r w:rsidRPr="00232EBB">
              <w:rPr>
                <w:rFonts w:ascii="Times New Roman" w:eastAsiaTheme="minorHAnsi" w:hAnsi="Times New Roman" w:cs="Times New Roman"/>
                <w:b/>
                <w:bCs/>
                <w:noProof/>
                <w:color w:val="FFFFFF" w:themeColor="background1"/>
                <w:spacing w:val="20"/>
                <w:kern w:val="0"/>
                <w:szCs w:val="24"/>
                <w:lang w:val="es-MX"/>
                <w14:ligatures w14:val="none"/>
              </w:rPr>
              <w:t>Héroes Anónimos</w:t>
            </w:r>
          </w:p>
        </w:tc>
      </w:tr>
      <w:tr w:rsidR="00CB11EA" w:rsidRPr="00232EBB" w14:paraId="1E26F058" w14:textId="77777777" w:rsidTr="00C47DA8">
        <w:tc>
          <w:tcPr>
            <w:tcW w:w="2263" w:type="dxa"/>
            <w:vAlign w:val="center"/>
          </w:tcPr>
          <w:p w14:paraId="1BC36E1D" w14:textId="77777777" w:rsidR="00CB11EA" w:rsidRPr="00232EBB" w:rsidRDefault="00CB11EA" w:rsidP="00C47DA8">
            <w:pPr>
              <w:pStyle w:val="NormalWeb"/>
              <w:spacing w:before="0" w:beforeAutospacing="0" w:after="120" w:afterAutospacing="0" w:line="360" w:lineRule="auto"/>
              <w:rPr>
                <w:rFonts w:ascii="Times New Roman" w:eastAsiaTheme="minorHAnsi" w:hAnsi="Times New Roman" w:cs="Times New Roman"/>
                <w:noProof/>
                <w:color w:val="808080" w:themeColor="background1" w:themeShade="80"/>
                <w:spacing w:val="20"/>
                <w:kern w:val="0"/>
                <w:szCs w:val="24"/>
                <w:lang w:val="es-MX"/>
                <w14:ligatures w14:val="none"/>
              </w:rPr>
            </w:pPr>
            <w:r w:rsidRPr="00232EBB">
              <w:rPr>
                <w:rFonts w:ascii="Times New Roman" w:eastAsiaTheme="minorHAnsi" w:hAnsi="Times New Roman" w:cs="Times New Roman"/>
                <w:noProof/>
                <w:color w:val="808080" w:themeColor="background1" w:themeShade="80"/>
                <w:spacing w:val="20"/>
                <w:kern w:val="0"/>
                <w:szCs w:val="24"/>
                <w:lang w:val="es-MX"/>
                <w14:ligatures w14:val="none"/>
              </w:rPr>
              <w:t>Innovación</w:t>
            </w:r>
          </w:p>
        </w:tc>
        <w:tc>
          <w:tcPr>
            <w:tcW w:w="2552" w:type="dxa"/>
            <w:vMerge w:val="restart"/>
            <w:vAlign w:val="center"/>
          </w:tcPr>
          <w:p w14:paraId="3363FE7E" w14:textId="77777777" w:rsidR="00CB11EA" w:rsidRPr="00232EBB" w:rsidRDefault="00CB11EA" w:rsidP="00C47DA8">
            <w:pPr>
              <w:pStyle w:val="NormalWeb"/>
              <w:spacing w:before="0" w:beforeAutospacing="0" w:after="120" w:afterAutospacing="0" w:line="360" w:lineRule="auto"/>
              <w:jc w:val="center"/>
              <w:rPr>
                <w:rFonts w:ascii="Times New Roman" w:eastAsiaTheme="minorHAnsi" w:hAnsi="Times New Roman" w:cs="Times New Roman"/>
                <w:noProof/>
                <w:color w:val="808080" w:themeColor="background1" w:themeShade="80"/>
                <w:spacing w:val="20"/>
                <w:kern w:val="0"/>
                <w:szCs w:val="24"/>
                <w:lang w:val="es-MX"/>
                <w14:ligatures w14:val="none"/>
              </w:rPr>
            </w:pPr>
            <w:r w:rsidRPr="00232EBB">
              <w:rPr>
                <w:rFonts w:ascii="Times New Roman" w:eastAsiaTheme="minorHAnsi" w:hAnsi="Times New Roman" w:cs="Times New Roman"/>
                <w:noProof/>
                <w:color w:val="808080" w:themeColor="background1" w:themeShade="80"/>
                <w:spacing w:val="20"/>
                <w:kern w:val="0"/>
                <w:szCs w:val="24"/>
                <w:lang w:val="es-MX"/>
                <w14:ligatures w14:val="none"/>
              </w:rPr>
              <w:t>Colaborador del Año</w:t>
            </w:r>
          </w:p>
        </w:tc>
      </w:tr>
      <w:tr w:rsidR="00CB11EA" w:rsidRPr="00232EBB" w14:paraId="5E63B4F7" w14:textId="77777777" w:rsidTr="00C47DA8">
        <w:tc>
          <w:tcPr>
            <w:tcW w:w="2263" w:type="dxa"/>
            <w:vAlign w:val="center"/>
          </w:tcPr>
          <w:p w14:paraId="56DF2384" w14:textId="77777777" w:rsidR="00CB11EA" w:rsidRPr="00232EBB" w:rsidRDefault="00CB11EA" w:rsidP="00C47DA8">
            <w:pPr>
              <w:pStyle w:val="NormalWeb"/>
              <w:spacing w:before="0" w:beforeAutospacing="0" w:after="120" w:afterAutospacing="0" w:line="360" w:lineRule="auto"/>
              <w:rPr>
                <w:rFonts w:ascii="Times New Roman" w:eastAsiaTheme="minorHAnsi" w:hAnsi="Times New Roman" w:cs="Times New Roman"/>
                <w:noProof/>
                <w:color w:val="808080" w:themeColor="background1" w:themeShade="80"/>
                <w:spacing w:val="20"/>
                <w:kern w:val="0"/>
                <w:szCs w:val="24"/>
                <w:lang w:val="es-MX"/>
                <w14:ligatures w14:val="none"/>
              </w:rPr>
            </w:pPr>
            <w:r w:rsidRPr="00232EBB">
              <w:rPr>
                <w:rFonts w:ascii="Times New Roman" w:eastAsiaTheme="minorHAnsi" w:hAnsi="Times New Roman" w:cs="Times New Roman"/>
                <w:noProof/>
                <w:color w:val="808080" w:themeColor="background1" w:themeShade="80"/>
                <w:spacing w:val="20"/>
                <w:kern w:val="0"/>
                <w:szCs w:val="24"/>
                <w:lang w:val="es-MX"/>
                <w14:ligatures w14:val="none"/>
              </w:rPr>
              <w:t>Trabajo en Equipo</w:t>
            </w:r>
          </w:p>
        </w:tc>
        <w:tc>
          <w:tcPr>
            <w:tcW w:w="2552" w:type="dxa"/>
            <w:vMerge/>
          </w:tcPr>
          <w:p w14:paraId="49626258" w14:textId="77777777" w:rsidR="00CB11EA" w:rsidRPr="00232EBB" w:rsidRDefault="00CB11EA" w:rsidP="00CB11EA">
            <w:pPr>
              <w:pStyle w:val="NormalWeb"/>
              <w:spacing w:before="0" w:beforeAutospacing="0" w:after="120" w:afterAutospacing="0" w:line="360" w:lineRule="auto"/>
              <w:jc w:val="both"/>
              <w:rPr>
                <w:rFonts w:ascii="Times New Roman" w:eastAsiaTheme="minorHAnsi" w:hAnsi="Times New Roman" w:cs="Times New Roman"/>
                <w:noProof/>
                <w:color w:val="808080" w:themeColor="background1" w:themeShade="80"/>
                <w:spacing w:val="20"/>
                <w:kern w:val="0"/>
                <w:szCs w:val="24"/>
                <w:lang w:val="es-MX"/>
                <w14:ligatures w14:val="none"/>
              </w:rPr>
            </w:pPr>
          </w:p>
        </w:tc>
      </w:tr>
    </w:tbl>
    <w:p w14:paraId="32225042" w14:textId="77777777" w:rsidR="00CB11EA" w:rsidRPr="00232EBB" w:rsidRDefault="00CB11EA" w:rsidP="00CB11EA">
      <w:pPr>
        <w:pStyle w:val="NormalWeb"/>
        <w:spacing w:before="0" w:beforeAutospacing="0" w:after="120" w:afterAutospacing="0" w:line="360" w:lineRule="auto"/>
        <w:jc w:val="both"/>
        <w:rPr>
          <w:rFonts w:eastAsiaTheme="minorHAnsi"/>
          <w:noProof/>
          <w:color w:val="808080" w:themeColor="background1" w:themeShade="80"/>
          <w:spacing w:val="20"/>
          <w:sz w:val="22"/>
          <w:lang w:val="es-MX"/>
        </w:rPr>
      </w:pPr>
    </w:p>
    <w:p w14:paraId="696DB65C" w14:textId="77777777" w:rsidR="00CB11EA" w:rsidRPr="00232EBB" w:rsidRDefault="00CB11EA" w:rsidP="00CB11EA">
      <w:pPr>
        <w:pStyle w:val="NormalWeb"/>
        <w:spacing w:before="0" w:beforeAutospacing="0" w:after="120" w:afterAutospacing="0" w:line="360" w:lineRule="auto"/>
        <w:jc w:val="both"/>
        <w:rPr>
          <w:rFonts w:eastAsiaTheme="minorHAnsi"/>
          <w:noProof/>
          <w:color w:val="808080" w:themeColor="background1" w:themeShade="80"/>
          <w:spacing w:val="20"/>
          <w:sz w:val="22"/>
          <w:lang w:val="es-MX"/>
        </w:rPr>
      </w:pPr>
    </w:p>
    <w:p w14:paraId="30F9E514" w14:textId="77777777" w:rsidR="00CB11EA" w:rsidRPr="00232EBB" w:rsidRDefault="00CB11EA" w:rsidP="00CB11EA">
      <w:pPr>
        <w:pStyle w:val="NormalWeb"/>
        <w:spacing w:before="0" w:beforeAutospacing="0" w:after="120" w:afterAutospacing="0" w:line="360" w:lineRule="auto"/>
        <w:jc w:val="both"/>
        <w:rPr>
          <w:rFonts w:eastAsiaTheme="minorHAnsi"/>
          <w:noProof/>
          <w:color w:val="808080" w:themeColor="background1" w:themeShade="80"/>
          <w:spacing w:val="20"/>
          <w:sz w:val="22"/>
          <w:lang w:val="es-MX"/>
        </w:rPr>
      </w:pPr>
    </w:p>
    <w:p w14:paraId="7DD5FB31" w14:textId="77777777" w:rsidR="00CB11EA" w:rsidRPr="00232EBB" w:rsidRDefault="00CB11EA" w:rsidP="00CB11EA">
      <w:pPr>
        <w:pStyle w:val="NormalWeb"/>
        <w:spacing w:before="0" w:beforeAutospacing="0" w:after="120" w:afterAutospacing="0" w:line="360" w:lineRule="auto"/>
        <w:jc w:val="both"/>
        <w:rPr>
          <w:rFonts w:eastAsiaTheme="minorHAnsi"/>
          <w:noProof/>
          <w:color w:val="808080" w:themeColor="background1" w:themeShade="80"/>
          <w:spacing w:val="20"/>
          <w:sz w:val="22"/>
          <w:lang w:val="es-MX"/>
        </w:rPr>
      </w:pPr>
    </w:p>
    <w:p w14:paraId="41F700FF" w14:textId="2D655EAE" w:rsidR="00B328D4" w:rsidRPr="00232EBB" w:rsidRDefault="00B328D4" w:rsidP="00CB11EA">
      <w:pPr>
        <w:pStyle w:val="NormalWeb"/>
        <w:spacing w:before="0" w:beforeAutospacing="0" w:after="120" w:afterAutospacing="0" w:line="360" w:lineRule="auto"/>
        <w:jc w:val="both"/>
        <w:rPr>
          <w:rFonts w:eastAsiaTheme="minorHAnsi"/>
          <w:noProof/>
          <w:color w:val="808080" w:themeColor="background1" w:themeShade="80"/>
          <w:spacing w:val="20"/>
          <w:sz w:val="18"/>
          <w:szCs w:val="20"/>
          <w:lang w:val="es-MX"/>
        </w:rPr>
      </w:pPr>
      <w:r w:rsidRPr="00232EBB">
        <w:rPr>
          <w:rFonts w:eastAsiaTheme="minorHAnsi"/>
          <w:b/>
          <w:bCs/>
          <w:noProof/>
          <w:color w:val="808080" w:themeColor="background1" w:themeShade="80"/>
          <w:spacing w:val="20"/>
          <w:sz w:val="18"/>
          <w:szCs w:val="20"/>
          <w:lang w:val="es-MX"/>
        </w:rPr>
        <w:t xml:space="preserve">Tabla </w:t>
      </w:r>
      <w:r w:rsidR="00E27BAB">
        <w:rPr>
          <w:rFonts w:eastAsiaTheme="minorHAnsi"/>
          <w:b/>
          <w:bCs/>
          <w:noProof/>
          <w:color w:val="808080" w:themeColor="background1" w:themeShade="80"/>
          <w:spacing w:val="20"/>
          <w:sz w:val="18"/>
          <w:szCs w:val="20"/>
          <w:lang w:val="es-MX"/>
        </w:rPr>
        <w:t>20</w:t>
      </w:r>
      <w:r w:rsidRPr="00232EBB">
        <w:rPr>
          <w:rFonts w:eastAsiaTheme="minorHAnsi"/>
          <w:b/>
          <w:bCs/>
          <w:noProof/>
          <w:color w:val="808080" w:themeColor="background1" w:themeShade="80"/>
          <w:spacing w:val="20"/>
          <w:sz w:val="18"/>
          <w:szCs w:val="20"/>
          <w:lang w:val="es-MX"/>
        </w:rPr>
        <w:t>:</w:t>
      </w:r>
      <w:r w:rsidRPr="00232EBB">
        <w:rPr>
          <w:rFonts w:eastAsiaTheme="minorHAnsi"/>
          <w:noProof/>
          <w:color w:val="808080" w:themeColor="background1" w:themeShade="80"/>
          <w:spacing w:val="20"/>
          <w:sz w:val="18"/>
          <w:szCs w:val="20"/>
          <w:lang w:val="es-MX"/>
        </w:rPr>
        <w:t xml:space="preserve"> Programa de reconocimiento.</w:t>
      </w:r>
    </w:p>
    <w:p w14:paraId="15127938" w14:textId="77777777" w:rsidR="00CB11EA" w:rsidRPr="00232EBB" w:rsidRDefault="00CB11EA" w:rsidP="00232EBB">
      <w:pPr>
        <w:pStyle w:val="NormalWeb"/>
        <w:spacing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 xml:space="preserve">Durante el año 2025, reconocimos a un total de treinta y seis (36) colaboradores, distribuidos de la siguiente manera: nueve (9) en la categoría Labor Destacada, tres (3) como Héroes Anónimos y veinticuatro (24) por Trabajo en Equipo. </w:t>
      </w:r>
    </w:p>
    <w:p w14:paraId="00C11AE9" w14:textId="77777777" w:rsidR="00CB11EA" w:rsidRPr="00232EBB" w:rsidRDefault="00CB11EA" w:rsidP="00232EBB">
      <w:pPr>
        <w:pStyle w:val="NormalWeb"/>
        <w:spacing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Los colaboradores reconocidos pertenecen a las siguientes áreas: Acceso a la Información Pública, Departamento de Control y Análisis de las Operaciones, Dirección Administrativa, Dirección de Fiscalización Externa, Dirección de Planificación y Desarrollo, Dirección de Recursos Humanos, Dirección de Tecnologías de la Información y Comunicación y la Dirección Financiera.</w:t>
      </w:r>
    </w:p>
    <w:p w14:paraId="0B320DA7" w14:textId="77777777" w:rsidR="00CB11EA" w:rsidRPr="00232EBB" w:rsidRDefault="00CB11EA" w:rsidP="00232EBB">
      <w:pPr>
        <w:pStyle w:val="NormalWeb"/>
        <w:spacing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En el presente año, para seleccionar el “Colaborador del Año 2025”, se aplicó una nueva metodología, un piloto, donde todos los colaboradores participaron. Y para la selección y evaluación se consideraron varios criterios, como son:</w:t>
      </w:r>
    </w:p>
    <w:p w14:paraId="1A426B35" w14:textId="77777777" w:rsidR="00CB11EA" w:rsidRPr="00232EBB" w:rsidRDefault="00CB11EA" w:rsidP="000E2299">
      <w:pPr>
        <w:pStyle w:val="NormalWeb"/>
        <w:numPr>
          <w:ilvl w:val="0"/>
          <w:numId w:val="44"/>
        </w:numPr>
        <w:spacing w:before="0" w:beforeAutospacing="0" w:after="12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lastRenderedPageBreak/>
        <w:t>Que cuente con más de dos años de servicio continuo en la institución.</w:t>
      </w:r>
    </w:p>
    <w:p w14:paraId="01177D54" w14:textId="77777777" w:rsidR="00CB11EA" w:rsidRPr="00232EBB" w:rsidRDefault="00CB11EA" w:rsidP="000E2299">
      <w:pPr>
        <w:pStyle w:val="NormalWeb"/>
        <w:numPr>
          <w:ilvl w:val="0"/>
          <w:numId w:val="44"/>
        </w:numPr>
        <w:spacing w:before="0" w:beforeAutospacing="0" w:after="12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Que tuviera menos de doce tardanzas durante los primeros diez meses del presente año, así como 0 ausencias no justificada.</w:t>
      </w:r>
    </w:p>
    <w:p w14:paraId="7D2FA9A9" w14:textId="77777777" w:rsidR="00CB11EA" w:rsidRPr="00232EBB" w:rsidRDefault="00CB11EA" w:rsidP="000E2299">
      <w:pPr>
        <w:pStyle w:val="NormalWeb"/>
        <w:numPr>
          <w:ilvl w:val="0"/>
          <w:numId w:val="44"/>
        </w:numPr>
        <w:spacing w:before="0" w:beforeAutospacing="0" w:after="12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No haber recibido amonestaciones ni incidentes críticos negativos en el presente año.</w:t>
      </w:r>
    </w:p>
    <w:p w14:paraId="288CAC0D" w14:textId="77777777" w:rsidR="00CB11EA" w:rsidRPr="00232EBB" w:rsidRDefault="00CB11EA" w:rsidP="000E2299">
      <w:pPr>
        <w:pStyle w:val="NormalWeb"/>
        <w:numPr>
          <w:ilvl w:val="0"/>
          <w:numId w:val="44"/>
        </w:numPr>
        <w:spacing w:before="0" w:beforeAutospacing="0" w:after="12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Obtener una calificación igual o superior a 91 puntos en su evaluación de desempeño del último año.</w:t>
      </w:r>
    </w:p>
    <w:p w14:paraId="37B1287E" w14:textId="77777777" w:rsidR="00CB11EA" w:rsidRPr="00232EBB" w:rsidRDefault="00CB11EA" w:rsidP="000E2299">
      <w:pPr>
        <w:pStyle w:val="NormalWeb"/>
        <w:numPr>
          <w:ilvl w:val="0"/>
          <w:numId w:val="44"/>
        </w:numPr>
        <w:spacing w:before="0" w:beforeAutospacing="0" w:after="12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Haber representado a la TSS o mostrado interés en participar en actividades sociales, culturales o de compromiso social.</w:t>
      </w:r>
    </w:p>
    <w:p w14:paraId="226B4557" w14:textId="77777777" w:rsidR="00CB11EA" w:rsidRPr="00232EBB" w:rsidRDefault="00CB11EA" w:rsidP="000E2299">
      <w:pPr>
        <w:pStyle w:val="NormalWeb"/>
        <w:numPr>
          <w:ilvl w:val="0"/>
          <w:numId w:val="44"/>
        </w:numPr>
        <w:spacing w:before="0" w:beforeAutospacing="0" w:after="12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Haber sido reconocido en cualquier categoría del Programa de Reconocimiento TSS durante el presente año.</w:t>
      </w:r>
    </w:p>
    <w:p w14:paraId="084FCCBC" w14:textId="147B01DF" w:rsidR="00CB11EA" w:rsidRPr="00232EBB" w:rsidRDefault="00CB11EA" w:rsidP="000E2299">
      <w:pPr>
        <w:pStyle w:val="NormalWeb"/>
        <w:numPr>
          <w:ilvl w:val="0"/>
          <w:numId w:val="44"/>
        </w:numPr>
        <w:spacing w:before="0" w:beforeAutospacing="0" w:after="12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Haber completado el 100 % de las formaciones convocadas en el año.</w:t>
      </w:r>
    </w:p>
    <w:p w14:paraId="786E0FA0" w14:textId="77777777" w:rsidR="00CB11EA" w:rsidRPr="00232EBB" w:rsidRDefault="00CB11EA" w:rsidP="000E2299">
      <w:pPr>
        <w:pStyle w:val="NormalWeb"/>
        <w:numPr>
          <w:ilvl w:val="0"/>
          <w:numId w:val="44"/>
        </w:numPr>
        <w:spacing w:before="0" w:beforeAutospacing="0" w:after="12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Proponer ideas o mejoras, implementadas o no, en algún proceso institucional en este año.</w:t>
      </w:r>
    </w:p>
    <w:p w14:paraId="74AE066F" w14:textId="77777777" w:rsidR="00CB11EA" w:rsidRPr="00232EBB" w:rsidRDefault="00CB11EA" w:rsidP="00CB11EA">
      <w:pPr>
        <w:pStyle w:val="NormalWeb"/>
        <w:spacing w:before="0" w:beforeAutospacing="0" w:after="12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 xml:space="preserve">A estos criterios evaluados se les asignó puntuaciones y el colaborador con la mayor puntuación acumulada fue seleccionado como el Colaborador del año 2025. </w:t>
      </w:r>
    </w:p>
    <w:p w14:paraId="78D42449" w14:textId="45E1B1E7" w:rsidR="00CB11EA" w:rsidRPr="00232EBB" w:rsidRDefault="00CB11EA" w:rsidP="00CB11EA">
      <w:pPr>
        <w:pStyle w:val="NormalWeb"/>
        <w:spacing w:before="0" w:beforeAutospacing="0" w:after="12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Nuestro Programa de Reconocimiento reafirma el compromiso institucional de promover una cultura de reconocimiento que valore el esfuerzo, la creatividad y el trabajo colaborativo como pilares del desarrollo organizacional.</w:t>
      </w:r>
      <w:bookmarkStart w:id="153" w:name="_Toc216263893"/>
    </w:p>
    <w:p w14:paraId="68F0E02B" w14:textId="7D80FD86" w:rsidR="00CB11EA" w:rsidRPr="00232EBB" w:rsidRDefault="00CB11EA" w:rsidP="00CB11EA">
      <w:pPr>
        <w:pStyle w:val="NormalWeb"/>
        <w:spacing w:before="0" w:beforeAutospacing="0" w:after="120" w:afterAutospacing="0" w:line="360" w:lineRule="auto"/>
        <w:jc w:val="both"/>
        <w:rPr>
          <w:rFonts w:eastAsiaTheme="minorHAnsi"/>
          <w:b/>
          <w:bCs/>
          <w:noProof/>
          <w:color w:val="808080" w:themeColor="background1" w:themeShade="80"/>
          <w:spacing w:val="20"/>
          <w:szCs w:val="28"/>
          <w:lang w:val="es-MX"/>
        </w:rPr>
      </w:pPr>
      <w:r w:rsidRPr="00232EBB">
        <w:rPr>
          <w:rFonts w:eastAsiaTheme="minorHAnsi"/>
          <w:b/>
          <w:bCs/>
          <w:noProof/>
          <w:color w:val="808080" w:themeColor="background1" w:themeShade="80"/>
          <w:spacing w:val="20"/>
          <w:szCs w:val="28"/>
          <w:lang w:val="es-MX"/>
        </w:rPr>
        <w:t>Programa de Inclusión y Diversidad.</w:t>
      </w:r>
      <w:bookmarkEnd w:id="153"/>
    </w:p>
    <w:p w14:paraId="2CA812AA" w14:textId="40FDA81B" w:rsidR="00CB11EA" w:rsidRPr="00232EBB" w:rsidRDefault="00CB11EA" w:rsidP="00CB11EA">
      <w:pPr>
        <w:pStyle w:val="NormalWeb"/>
        <w:spacing w:before="0" w:beforeAutospacing="0" w:after="12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 xml:space="preserve">Comprometidos con un entorno laboral dinámico y globalizado, hemos consolidado la inclusión y la diversidad como pilares fundamentales para el desarrollo sostenible y competitivo de la </w:t>
      </w:r>
      <w:r w:rsidRPr="00232EBB">
        <w:rPr>
          <w:rFonts w:eastAsiaTheme="minorHAnsi"/>
          <w:noProof/>
          <w:color w:val="808080" w:themeColor="background1" w:themeShade="80"/>
          <w:spacing w:val="20"/>
          <w:szCs w:val="28"/>
          <w:lang w:val="es-MX"/>
        </w:rPr>
        <w:lastRenderedPageBreak/>
        <w:t xml:space="preserve">institución. En respuesta a este compromiso ético y social, hemos incorporado en nuestro Plan Estratégico Institucional 2025-2028 la implementación de un Programa de Inclusión y Diversidad Laboral, con el objetivo de fomentar entornos de trabajo más innovadores, colaborativos y resilientes. </w:t>
      </w:r>
    </w:p>
    <w:p w14:paraId="46E0D2A8" w14:textId="77777777" w:rsidR="00CB11EA" w:rsidRPr="00232EBB" w:rsidRDefault="00CB11EA" w:rsidP="00CB11EA">
      <w:pPr>
        <w:pStyle w:val="NormalWeb"/>
        <w:spacing w:before="0" w:beforeAutospacing="0" w:after="12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Durante el año 2025, llevamos a cabo un diagnóstico para el desarrollo del programa en la TSS. Este proceso incluyó la revisión de las políticas institucionales vigentes, con el objetivo de identificar lineamientos relacionados con inclusión y diversidad. Además, establecimos un acercamiento con el Consejo Nacional de Discapacidad (CONADIS), con el propósito de conocer los requerimientos necesarios para la adecuada implementación del programa.</w:t>
      </w:r>
    </w:p>
    <w:p w14:paraId="39FE5B23" w14:textId="77777777" w:rsidR="00CB11EA" w:rsidRPr="00232EBB" w:rsidRDefault="00CB11EA" w:rsidP="00CB11EA">
      <w:pPr>
        <w:pStyle w:val="NormalWeb"/>
        <w:spacing w:before="0" w:beforeAutospacing="0" w:after="12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Como parte de esta iniciativa, realizamos tres (3) jornadas de sensibilización sobre temas clave: trato digno hacia las personas con discapacidad, accesibilidad universal y discapacidad y empleo.</w:t>
      </w:r>
    </w:p>
    <w:p w14:paraId="6DFB1AF7" w14:textId="77777777" w:rsidR="00CB11EA" w:rsidRPr="00232EBB" w:rsidRDefault="00CB11EA" w:rsidP="00CB11EA">
      <w:pPr>
        <w:pStyle w:val="NormalWeb"/>
        <w:spacing w:before="0" w:beforeAutospacing="0" w:after="12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Asimismo, incorporamos en la encuesta de clima institucional 2025 preguntas orientadas a reflejar la percepción y expectativas del personal respecto a la inclusión y la diversidad en el entorno laboral.</w:t>
      </w:r>
    </w:p>
    <w:p w14:paraId="554659FC" w14:textId="77777777" w:rsidR="00CB11EA" w:rsidRPr="00232EBB" w:rsidRDefault="00CB11EA" w:rsidP="00CB11EA">
      <w:pPr>
        <w:pStyle w:val="NormalWeb"/>
        <w:spacing w:before="0" w:beforeAutospacing="0" w:after="12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Actualmente, nos encontramos realizando un levantamiento de los cargos existentes en la TSS, con el propósito de identificar aquellos que pueden ser ocupados por ciudadanos con algún tipo de discapacidad.</w:t>
      </w:r>
    </w:p>
    <w:p w14:paraId="06F6F3E3" w14:textId="77777777" w:rsidR="00CB11EA" w:rsidRPr="00232EBB" w:rsidRDefault="00CB11EA" w:rsidP="00CB11EA">
      <w:pPr>
        <w:pStyle w:val="NormalWeb"/>
        <w:spacing w:before="0" w:beforeAutospacing="0" w:after="120" w:afterAutospacing="0" w:line="360" w:lineRule="auto"/>
        <w:jc w:val="both"/>
        <w:rPr>
          <w:rFonts w:eastAsiaTheme="minorHAnsi"/>
          <w:b/>
          <w:bCs/>
          <w:noProof/>
          <w:color w:val="808080" w:themeColor="background1" w:themeShade="80"/>
          <w:spacing w:val="20"/>
          <w:szCs w:val="28"/>
          <w:lang w:val="es-MX"/>
        </w:rPr>
      </w:pPr>
      <w:r w:rsidRPr="00232EBB">
        <w:rPr>
          <w:rFonts w:eastAsiaTheme="minorHAnsi"/>
          <w:b/>
          <w:bCs/>
          <w:noProof/>
          <w:color w:val="808080" w:themeColor="background1" w:themeShade="80"/>
          <w:spacing w:val="20"/>
          <w:szCs w:val="28"/>
          <w:lang w:val="es-MX"/>
        </w:rPr>
        <w:t>Plan de Acción Clima Organizacional.</w:t>
      </w:r>
    </w:p>
    <w:p w14:paraId="4AF70F0D" w14:textId="77777777" w:rsidR="00CB11EA" w:rsidRPr="00232EBB" w:rsidRDefault="00CB11EA" w:rsidP="00CB11EA">
      <w:pPr>
        <w:pStyle w:val="NormalWeb"/>
        <w:spacing w:before="0" w:beforeAutospacing="0" w:after="12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La aplicación de la Encuesta de Clima Laboral permite conocer el nivel de satisfacción del personal e identificar oportunidades de mejora que contribuyan al fortalecimiento de su motivación y bienestar.</w:t>
      </w:r>
    </w:p>
    <w:p w14:paraId="4A56D441" w14:textId="6D2141D6" w:rsidR="00CB11EA" w:rsidRPr="00232EBB" w:rsidRDefault="00CB11EA" w:rsidP="00280B1F">
      <w:pPr>
        <w:pStyle w:val="NormalWeb"/>
        <w:spacing w:before="0" w:beforeAutospacing="0" w:after="12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lastRenderedPageBreak/>
        <w:t>En octubre de 202</w:t>
      </w:r>
      <w:r w:rsidR="002112C0">
        <w:rPr>
          <w:rFonts w:eastAsiaTheme="minorHAnsi"/>
          <w:noProof/>
          <w:color w:val="808080" w:themeColor="background1" w:themeShade="80"/>
          <w:spacing w:val="20"/>
          <w:szCs w:val="28"/>
          <w:lang w:val="es-MX"/>
        </w:rPr>
        <w:t>5</w:t>
      </w:r>
      <w:r w:rsidRPr="00232EBB">
        <w:rPr>
          <w:rFonts w:eastAsiaTheme="minorHAnsi"/>
          <w:noProof/>
          <w:color w:val="808080" w:themeColor="background1" w:themeShade="80"/>
          <w:spacing w:val="20"/>
          <w:szCs w:val="28"/>
          <w:lang w:val="es-MX"/>
        </w:rPr>
        <w:t>, la encuesta fue remitida a todo el personal. A partir del análisis de los resultados, la Dirección de Recursos Humanos elaboró un plan de acción basado en las sugerencias recibidas. Estas sugerencias abordaron temas clave como: identificación, satisfacción y crecimiento laboral, comunicación, ambiente de trabajo, infraestructura y liderazgo.</w:t>
      </w:r>
    </w:p>
    <w:p w14:paraId="71619F5F" w14:textId="65CF4282" w:rsidR="00CB11EA" w:rsidRPr="00232EBB" w:rsidRDefault="00CB11EA" w:rsidP="00A82DAD">
      <w:pPr>
        <w:pStyle w:val="NormalWeb"/>
        <w:spacing w:before="0" w:beforeAutospacing="0" w:after="12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A la fecha, el plan de acción fue ejecutado en su totalidad, alcanzando un 100% de cumplimiento de las actividades programadas, reafirmando nuestro compromiso institucional con la creación de un entorno laboral saludable, participativo y orientado a la mejora continua.</w:t>
      </w:r>
    </w:p>
    <w:p w14:paraId="492BFB4B" w14:textId="75185133" w:rsidR="00CB11EA" w:rsidRPr="00232EBB" w:rsidRDefault="00CB11EA" w:rsidP="00A82DAD">
      <w:pPr>
        <w:pStyle w:val="NormalWeb"/>
        <w:spacing w:before="0" w:beforeAutospacing="0" w:after="120" w:afterAutospacing="0" w:line="360" w:lineRule="auto"/>
        <w:jc w:val="both"/>
        <w:rPr>
          <w:rFonts w:eastAsiaTheme="minorHAnsi"/>
          <w:noProof/>
          <w:color w:val="808080" w:themeColor="background1" w:themeShade="80"/>
          <w:spacing w:val="20"/>
          <w:lang w:val="es-MX"/>
        </w:rPr>
      </w:pPr>
      <w:bookmarkStart w:id="154" w:name="_Toc216263894"/>
      <w:r w:rsidRPr="00232EBB">
        <w:rPr>
          <w:rFonts w:eastAsiaTheme="minorHAnsi"/>
          <w:b/>
          <w:bCs/>
          <w:noProof/>
          <w:color w:val="808080" w:themeColor="background1" w:themeShade="80"/>
          <w:spacing w:val="20"/>
          <w:lang w:val="es-MX"/>
        </w:rPr>
        <w:t>Cumplimiento Indicadores del SISMAP</w:t>
      </w:r>
      <w:r w:rsidRPr="00232EBB">
        <w:rPr>
          <w:rFonts w:eastAsiaTheme="minorHAnsi"/>
          <w:noProof/>
          <w:color w:val="808080" w:themeColor="background1" w:themeShade="80"/>
          <w:spacing w:val="20"/>
          <w:lang w:val="es-MX"/>
        </w:rPr>
        <w:t>.</w:t>
      </w:r>
      <w:bookmarkEnd w:id="154"/>
    </w:p>
    <w:p w14:paraId="375448C9" w14:textId="77777777" w:rsidR="00CB11EA" w:rsidRPr="00232EBB" w:rsidRDefault="00CB11EA" w:rsidP="00A82DAD">
      <w:pPr>
        <w:pStyle w:val="NormalWeb"/>
        <w:spacing w:before="0" w:beforeAutospacing="0" w:after="120" w:afterAutospacing="0" w:line="360" w:lineRule="auto"/>
        <w:jc w:val="both"/>
        <w:rPr>
          <w:rFonts w:eastAsiaTheme="minorHAnsi"/>
          <w:noProof/>
          <w:color w:val="808080" w:themeColor="background1" w:themeShade="80"/>
          <w:spacing w:val="20"/>
          <w:lang w:val="es-MX"/>
        </w:rPr>
      </w:pPr>
      <w:r w:rsidRPr="00232EBB">
        <w:rPr>
          <w:rFonts w:eastAsiaTheme="minorHAnsi"/>
          <w:noProof/>
          <w:color w:val="808080" w:themeColor="background1" w:themeShade="80"/>
          <w:spacing w:val="20"/>
          <w:lang w:val="es-MX"/>
        </w:rPr>
        <w:t xml:space="preserve">El SISMAP es una herramienta de monitoreo implementada por el Ministerio de Administración Pública (MAP), cuyo propósito es medir el nivel de desarrollo de la gestión pública en las instituciones del Estado. </w:t>
      </w:r>
    </w:p>
    <w:p w14:paraId="37790702" w14:textId="77777777" w:rsidR="00CB11EA" w:rsidRPr="00232EBB" w:rsidRDefault="00CB11EA" w:rsidP="00A82DAD">
      <w:pPr>
        <w:pStyle w:val="NormalWeb"/>
        <w:spacing w:before="0" w:beforeAutospacing="0" w:after="120" w:afterAutospacing="0" w:line="360" w:lineRule="auto"/>
        <w:jc w:val="both"/>
        <w:rPr>
          <w:rFonts w:eastAsiaTheme="minorHAnsi"/>
          <w:noProof/>
          <w:color w:val="808080" w:themeColor="background1" w:themeShade="80"/>
          <w:spacing w:val="20"/>
          <w:lang w:val="es-MX"/>
        </w:rPr>
      </w:pPr>
      <w:r w:rsidRPr="00232EBB">
        <w:rPr>
          <w:rFonts w:eastAsiaTheme="minorHAnsi"/>
          <w:noProof/>
          <w:color w:val="808080" w:themeColor="background1" w:themeShade="80"/>
          <w:spacing w:val="20"/>
          <w:lang w:val="es-MX"/>
        </w:rPr>
        <w:t>Cada uno de sus componentes ha sido gestionado y actualizado con sus respectivas evidencias. A la fecha, alcanzamos un nivel de cumplimiento promedio de 89.00%, reflejando el compromiso con la mejora continua, la eficiencia institucional y el fortalecimiento de la administración pública.</w:t>
      </w:r>
    </w:p>
    <w:p w14:paraId="390EB636" w14:textId="4F0FD65B" w:rsidR="00CB11EA" w:rsidRPr="00232EBB" w:rsidRDefault="00CB11EA" w:rsidP="00A82DAD">
      <w:pPr>
        <w:pStyle w:val="NormalWeb"/>
        <w:spacing w:before="0" w:beforeAutospacing="0" w:after="120" w:afterAutospacing="0" w:line="360" w:lineRule="auto"/>
        <w:jc w:val="both"/>
        <w:rPr>
          <w:rFonts w:eastAsiaTheme="minorHAnsi"/>
          <w:b/>
          <w:bCs/>
          <w:noProof/>
          <w:color w:val="808080" w:themeColor="background1" w:themeShade="80"/>
          <w:spacing w:val="20"/>
          <w:lang w:val="es-MX"/>
        </w:rPr>
      </w:pPr>
      <w:bookmarkStart w:id="155" w:name="_Toc216263895"/>
      <w:r w:rsidRPr="00232EBB">
        <w:rPr>
          <w:rFonts w:eastAsiaTheme="minorHAnsi"/>
          <w:b/>
          <w:bCs/>
          <w:noProof/>
          <w:color w:val="808080" w:themeColor="background1" w:themeShade="80"/>
          <w:spacing w:val="20"/>
          <w:lang w:val="es-MX"/>
        </w:rPr>
        <w:t>Actualización Manual de Cargos y Manual de Organización y Funciones de la TSS.</w:t>
      </w:r>
      <w:bookmarkEnd w:id="155"/>
    </w:p>
    <w:p w14:paraId="04711155" w14:textId="6F26AB41" w:rsidR="00CB11EA" w:rsidRPr="00232EBB" w:rsidRDefault="00CB11EA" w:rsidP="00A82DAD">
      <w:pPr>
        <w:pStyle w:val="NormalWeb"/>
        <w:spacing w:before="0" w:beforeAutospacing="0" w:after="120" w:afterAutospacing="0" w:line="360" w:lineRule="auto"/>
        <w:jc w:val="both"/>
        <w:rPr>
          <w:rFonts w:eastAsiaTheme="minorHAnsi"/>
          <w:noProof/>
          <w:color w:val="808080" w:themeColor="background1" w:themeShade="80"/>
          <w:spacing w:val="20"/>
          <w:lang w:val="es-MX"/>
        </w:rPr>
      </w:pPr>
      <w:r w:rsidRPr="00232EBB">
        <w:rPr>
          <w:rFonts w:eastAsiaTheme="minorHAnsi"/>
          <w:noProof/>
          <w:color w:val="808080" w:themeColor="background1" w:themeShade="80"/>
          <w:spacing w:val="20"/>
          <w:lang w:val="es-MX"/>
        </w:rPr>
        <w:t xml:space="preserve">En conjunto con la Dirección de Planificación y Desarrollo, </w:t>
      </w:r>
      <w:r w:rsidR="00433315" w:rsidRPr="00232EBB">
        <w:rPr>
          <w:rFonts w:eastAsiaTheme="minorHAnsi"/>
          <w:noProof/>
          <w:color w:val="808080" w:themeColor="background1" w:themeShade="80"/>
          <w:spacing w:val="20"/>
          <w:lang w:val="es-MX"/>
        </w:rPr>
        <w:t>fueron revisadas</w:t>
      </w:r>
      <w:r w:rsidRPr="00232EBB">
        <w:rPr>
          <w:rFonts w:eastAsiaTheme="minorHAnsi"/>
          <w:noProof/>
          <w:color w:val="808080" w:themeColor="background1" w:themeShade="80"/>
          <w:spacing w:val="20"/>
          <w:lang w:val="es-MX"/>
        </w:rPr>
        <w:t xml:space="preserve"> las funciones de las unidades organizativas, así como, la revisión de los cargos que conforman la estructura organizacional de la institución. Este trabajo incluyó la actualización de la plantilla conforme a los lineamientos del MAP, así como la revisión y adecuación de las competencias asociadas a cada puesto.</w:t>
      </w:r>
    </w:p>
    <w:p w14:paraId="00B2A9F2" w14:textId="5B3C2EC2" w:rsidR="00CB11EA" w:rsidRPr="00232EBB" w:rsidRDefault="00CB11EA" w:rsidP="00A82DAD">
      <w:pPr>
        <w:pStyle w:val="NormalWeb"/>
        <w:spacing w:before="0" w:beforeAutospacing="0" w:after="120" w:afterAutospacing="0" w:line="360" w:lineRule="auto"/>
        <w:jc w:val="both"/>
        <w:rPr>
          <w:rFonts w:eastAsiaTheme="minorHAnsi"/>
          <w:noProof/>
          <w:color w:val="808080" w:themeColor="background1" w:themeShade="80"/>
          <w:spacing w:val="20"/>
          <w:lang w:val="es-MX"/>
        </w:rPr>
      </w:pPr>
      <w:r w:rsidRPr="00232EBB">
        <w:rPr>
          <w:rFonts w:eastAsiaTheme="minorHAnsi"/>
          <w:noProof/>
          <w:color w:val="808080" w:themeColor="background1" w:themeShade="80"/>
          <w:spacing w:val="20"/>
          <w:lang w:val="es-MX"/>
        </w:rPr>
        <w:lastRenderedPageBreak/>
        <w:t xml:space="preserve">Como resultado, en el mes de marzo fue emitida la Resolución núm. 03-2025, mediante la cual se aprueba el Manual de Organización y Funciones de la Tesorería de la Seguridad Social. </w:t>
      </w:r>
      <w:r w:rsidR="00B433D4">
        <w:rPr>
          <w:rFonts w:eastAsiaTheme="minorHAnsi"/>
          <w:noProof/>
          <w:color w:val="808080" w:themeColor="background1" w:themeShade="80"/>
          <w:spacing w:val="20"/>
          <w:lang w:val="es-MX"/>
        </w:rPr>
        <w:t xml:space="preserve">En </w:t>
      </w:r>
      <w:r w:rsidRPr="00232EBB">
        <w:rPr>
          <w:rFonts w:eastAsiaTheme="minorHAnsi"/>
          <w:noProof/>
          <w:color w:val="808080" w:themeColor="background1" w:themeShade="80"/>
          <w:spacing w:val="20"/>
          <w:lang w:val="es-MX"/>
        </w:rPr>
        <w:t>el mes de noviembre fue emitida la Resolución núm. 05-2025, mediante la cual se aprueba el Manual de Cargos Comunes y Típicos Clasificados de la Tesorería de la Seguridad Social. Estos manuales comprenden: las competencias y funciones de cada unidad organizacional, y los cargos comunes y típicos, los de estatuto simplificado y los pertenecientes a la Carrera Administrativa General, junto con su correspondiente ubicación dentro de los grupos ocupacionales.</w:t>
      </w:r>
    </w:p>
    <w:p w14:paraId="612E6801" w14:textId="77777777" w:rsidR="00CB11EA" w:rsidRPr="00232EBB" w:rsidRDefault="00CB11EA" w:rsidP="00280B1F">
      <w:pPr>
        <w:pStyle w:val="NormalWeb"/>
        <w:spacing w:before="0" w:beforeAutospacing="0" w:after="120" w:afterAutospacing="0" w:line="360" w:lineRule="auto"/>
        <w:jc w:val="both"/>
        <w:rPr>
          <w:rFonts w:eastAsiaTheme="minorHAnsi"/>
          <w:noProof/>
          <w:color w:val="808080" w:themeColor="background1" w:themeShade="80"/>
          <w:spacing w:val="20"/>
          <w:lang w:val="es-MX"/>
        </w:rPr>
      </w:pPr>
      <w:r w:rsidRPr="00232EBB">
        <w:rPr>
          <w:rFonts w:eastAsiaTheme="minorHAnsi"/>
          <w:noProof/>
          <w:color w:val="808080" w:themeColor="background1" w:themeShade="80"/>
          <w:spacing w:val="20"/>
          <w:lang w:val="es-MX"/>
        </w:rPr>
        <w:t>Contar con estos dos Manuales aprobados por el MAP representa un elemento esencial para estandarizar procesos, fortalecer la transparencia institucional y garantizar la coherencia en la gestión operativa.  Asimismo, servirá como guía oficial para la correcta ejecución de las funciones establecidas. En lo adelante, se realizarán las actualizaciones y ajustes necesarios en las direcciones y departamentos que corresponda, asegurando su vigencia y alineación con las necesidades institucionales.</w:t>
      </w:r>
    </w:p>
    <w:p w14:paraId="02331ED8" w14:textId="77777777" w:rsidR="00CB11EA" w:rsidRPr="00232EBB" w:rsidRDefault="00CB11EA" w:rsidP="00277D3D">
      <w:pPr>
        <w:pStyle w:val="Heading1"/>
        <w:spacing w:before="0"/>
        <w:jc w:val="left"/>
        <w:rPr>
          <w:rFonts w:eastAsiaTheme="minorHAnsi" w:cs="Times New Roman"/>
          <w:bCs/>
          <w:noProof/>
          <w:color w:val="808080" w:themeColor="background1" w:themeShade="80"/>
          <w:sz w:val="24"/>
          <w:szCs w:val="28"/>
          <w:lang w:val="es-MX"/>
        </w:rPr>
      </w:pPr>
      <w:bookmarkStart w:id="156" w:name="_Toc216263897"/>
      <w:bookmarkStart w:id="157" w:name="_Toc216952232"/>
      <w:r w:rsidRPr="00232EBB">
        <w:rPr>
          <w:rFonts w:eastAsiaTheme="minorHAnsi" w:cs="Times New Roman"/>
          <w:bCs/>
          <w:noProof/>
          <w:color w:val="808080" w:themeColor="background1" w:themeShade="80"/>
          <w:sz w:val="24"/>
          <w:szCs w:val="28"/>
          <w:lang w:val="es-MX"/>
        </w:rPr>
        <w:t>Gestión del desempeño.</w:t>
      </w:r>
      <w:bookmarkEnd w:id="156"/>
      <w:bookmarkEnd w:id="157"/>
    </w:p>
    <w:p w14:paraId="7E33056E" w14:textId="77777777" w:rsidR="00CB11EA" w:rsidRPr="00232EBB" w:rsidRDefault="00CB11EA" w:rsidP="00277D3D">
      <w:pPr>
        <w:pStyle w:val="NormalWeb"/>
        <w:spacing w:before="0" w:beforeAutospacing="0" w:after="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El sistema de evaluación del desempeño es una herramienta que permite medir de manera objetiva la conducta profesional, las competencias, el rendimiento, la productividad y el cumplimiento de objetivos de manera integral y su impacto en el logro de las metas departamentales.</w:t>
      </w:r>
    </w:p>
    <w:p w14:paraId="06643950" w14:textId="3415D957" w:rsidR="00CB11EA" w:rsidRPr="00232EBB" w:rsidRDefault="00CB11EA" w:rsidP="00280B1F">
      <w:pPr>
        <w:pStyle w:val="NormalWeb"/>
        <w:spacing w:before="0" w:beforeAutospacing="0" w:after="12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 xml:space="preserve">La Circular núm. 015903 del Ministerio de Administración Pública (MAP), estableció nuevas directrices y el cronograma para la planificación y ejecución del proceso de Gestión y Evaluación del Desempeño Laboral basado en resultados para el año 2025. La misma requiere que los acuerdos de desempeño estén vinculados a las metas del Plan Operativo Anual (POA), Plan Estratégico </w:t>
      </w:r>
      <w:r w:rsidRPr="00232EBB">
        <w:rPr>
          <w:rFonts w:eastAsiaTheme="minorHAnsi"/>
          <w:noProof/>
          <w:color w:val="808080" w:themeColor="background1" w:themeShade="80"/>
          <w:spacing w:val="20"/>
          <w:szCs w:val="28"/>
          <w:lang w:val="es-MX"/>
        </w:rPr>
        <w:lastRenderedPageBreak/>
        <w:t>Institucional (PEI) y Plan Nacional Plurianual del Sector Público, y es a través del área de Planificación y Desarrollo de la Institución quienes deben certificar dicha alineación.</w:t>
      </w:r>
    </w:p>
    <w:p w14:paraId="4DF76F47" w14:textId="77777777" w:rsidR="00CB11EA" w:rsidRPr="00232EBB" w:rsidRDefault="00CB11EA" w:rsidP="00280B1F">
      <w:pPr>
        <w:pStyle w:val="NormalWeb"/>
        <w:spacing w:before="0" w:beforeAutospacing="0" w:after="12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En cumplimiento con estas nuevas directrices del MAP, se implementaron dos nuevos formularios de evaluación del desempeño, diferenciados por grupo ocupacional. Para los grupos ocupacionales del I al IV, se actualizó la versión y la imagen del formulario existente. Para el grupo ocupacional V, se incorporó una nueva columna en el formulario destinada a registrar las metas del Plan Operativo Anual (POA) que impactan en las funciones del colaborador. Estos nuevos formularios se aplicaron a todos los acuerdos de desempeño elaborados para el año 2025.</w:t>
      </w:r>
    </w:p>
    <w:p w14:paraId="23BE9B9E" w14:textId="77777777" w:rsidR="000E2299" w:rsidRPr="00232EBB" w:rsidRDefault="000E2299" w:rsidP="00280B1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 xml:space="preserve">Durante el mes de enero de 2025, se completó la gestión y entrega de los acuerdos de desempeño para la totalidad del personal de la TSS. Un total de 343 colaboradores, que representan el 100% del personal activo a esa fecha, fueron debidamente reportados al Ministerio de Administración Pública (MAP) utilizando la plantilla designada para dichos fines. </w:t>
      </w:r>
    </w:p>
    <w:p w14:paraId="6264C095" w14:textId="18E1AAF4" w:rsidR="000E2299" w:rsidRDefault="00F65B16" w:rsidP="00280B1F">
      <w:pPr>
        <w:spacing w:line="360" w:lineRule="auto"/>
        <w:jc w:val="both"/>
        <w:rPr>
          <w:noProof/>
          <w:color w:val="808080" w:themeColor="background1" w:themeShade="80"/>
          <w:szCs w:val="28"/>
          <w:lang w:val="es-MX"/>
        </w:rPr>
      </w:pPr>
      <w:r w:rsidRPr="00232EBB">
        <w:rPr>
          <w:noProof/>
          <w:color w:val="000000" w:themeColor="text1"/>
          <w:spacing w:val="0"/>
          <w:kern w:val="2"/>
          <w:sz w:val="18"/>
          <w:szCs w:val="18"/>
          <w:lang w:val="es-DO"/>
          <w14:ligatures w14:val="standardContextual"/>
        </w:rPr>
        <w:drawing>
          <wp:anchor distT="0" distB="0" distL="114300" distR="114300" simplePos="0" relativeHeight="251713572" behindDoc="0" locked="0" layoutInCell="1" allowOverlap="1" wp14:anchorId="4E6A9C64" wp14:editId="1D99E0FC">
            <wp:simplePos x="0" y="0"/>
            <wp:positionH relativeFrom="margin">
              <wp:posOffset>353060</wp:posOffset>
            </wp:positionH>
            <wp:positionV relativeFrom="paragraph">
              <wp:posOffset>1087120</wp:posOffset>
            </wp:positionV>
            <wp:extent cx="3937635" cy="2070100"/>
            <wp:effectExtent l="0" t="0" r="5715" b="6350"/>
            <wp:wrapSquare wrapText="bothSides"/>
            <wp:docPr id="502994087"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margin">
              <wp14:pctWidth>0</wp14:pctWidth>
            </wp14:sizeRelH>
            <wp14:sizeRelV relativeFrom="margin">
              <wp14:pctHeight>0</wp14:pctHeight>
            </wp14:sizeRelV>
          </wp:anchor>
        </w:drawing>
      </w:r>
      <w:r w:rsidR="000E2299" w:rsidRPr="00232EBB">
        <w:rPr>
          <w:noProof/>
          <w:color w:val="808080" w:themeColor="background1" w:themeShade="80"/>
          <w:szCs w:val="28"/>
          <w:lang w:val="es-MX"/>
        </w:rPr>
        <w:t>En este mismo período, se solicitó la entrega de los Planes de Mejora y Desarrollo Profesional correspondientes a estos 343 colaboradores. A la fecha de este informe, se recibió el 68% de dichos planes.</w:t>
      </w:r>
    </w:p>
    <w:p w14:paraId="0159F06E" w14:textId="71710BE1" w:rsidR="00F65B16" w:rsidRPr="00232EBB" w:rsidRDefault="00F65B16" w:rsidP="00280B1F">
      <w:pPr>
        <w:spacing w:line="360" w:lineRule="auto"/>
        <w:jc w:val="both"/>
        <w:rPr>
          <w:noProof/>
          <w:color w:val="808080" w:themeColor="background1" w:themeShade="80"/>
          <w:szCs w:val="28"/>
          <w:lang w:val="es-MX"/>
        </w:rPr>
      </w:pPr>
    </w:p>
    <w:p w14:paraId="4E3CF935" w14:textId="57A3908E" w:rsidR="000E2299" w:rsidRPr="00232EBB" w:rsidRDefault="000E2299" w:rsidP="000E2299">
      <w:pPr>
        <w:jc w:val="both"/>
        <w:rPr>
          <w:color w:val="000000" w:themeColor="text1"/>
          <w:spacing w:val="0"/>
          <w:kern w:val="2"/>
          <w:lang w:val="es-DO"/>
          <w14:ligatures w14:val="standardContextual"/>
        </w:rPr>
      </w:pPr>
      <w:r w:rsidRPr="00232EBB">
        <w:rPr>
          <w:color w:val="000000" w:themeColor="text1"/>
          <w:spacing w:val="0"/>
          <w:kern w:val="2"/>
          <w:lang w:val="es-DO"/>
          <w14:ligatures w14:val="standardContextual"/>
        </w:rPr>
        <w:t xml:space="preserve">   </w:t>
      </w:r>
    </w:p>
    <w:p w14:paraId="1431415F" w14:textId="2F4FC182" w:rsidR="000E2299" w:rsidRPr="00232EBB" w:rsidRDefault="000E2299" w:rsidP="000E2299">
      <w:pPr>
        <w:jc w:val="both"/>
        <w:rPr>
          <w:color w:val="000000" w:themeColor="text1"/>
          <w:spacing w:val="0"/>
          <w:kern w:val="2"/>
          <w:lang w:val="es-DO"/>
          <w14:ligatures w14:val="standardContextual"/>
        </w:rPr>
      </w:pPr>
    </w:p>
    <w:p w14:paraId="40A58831" w14:textId="6520CDAC" w:rsidR="000E2299" w:rsidRPr="00232EBB" w:rsidRDefault="000E2299" w:rsidP="000E2299">
      <w:pPr>
        <w:jc w:val="both"/>
        <w:rPr>
          <w:color w:val="000000" w:themeColor="text1"/>
          <w:spacing w:val="0"/>
          <w:kern w:val="2"/>
          <w:lang w:val="es-DO"/>
          <w14:ligatures w14:val="standardContextual"/>
        </w:rPr>
      </w:pPr>
    </w:p>
    <w:p w14:paraId="29669FDC" w14:textId="579FB4E6" w:rsidR="000E2299" w:rsidRDefault="000E2299" w:rsidP="000E2299">
      <w:pPr>
        <w:jc w:val="both"/>
        <w:rPr>
          <w:color w:val="000000" w:themeColor="text1"/>
          <w:spacing w:val="0"/>
          <w:kern w:val="2"/>
          <w:lang w:val="es-DO"/>
          <w14:ligatures w14:val="standardContextual"/>
        </w:rPr>
      </w:pPr>
    </w:p>
    <w:p w14:paraId="6028F713" w14:textId="77777777" w:rsidR="00F65B16" w:rsidRDefault="00F65B16" w:rsidP="000E2299">
      <w:pPr>
        <w:jc w:val="both"/>
        <w:rPr>
          <w:color w:val="000000" w:themeColor="text1"/>
          <w:spacing w:val="0"/>
          <w:kern w:val="2"/>
          <w:lang w:val="es-DO"/>
          <w14:ligatures w14:val="standardContextual"/>
        </w:rPr>
      </w:pPr>
    </w:p>
    <w:p w14:paraId="1B679361" w14:textId="77777777" w:rsidR="00F65B16" w:rsidRPr="00232EBB" w:rsidRDefault="00F65B16" w:rsidP="000E2299">
      <w:pPr>
        <w:jc w:val="both"/>
        <w:rPr>
          <w:color w:val="000000" w:themeColor="text1"/>
          <w:spacing w:val="0"/>
          <w:kern w:val="2"/>
          <w:lang w:val="es-DO"/>
          <w14:ligatures w14:val="standardContextual"/>
        </w:rPr>
      </w:pPr>
    </w:p>
    <w:p w14:paraId="26CBEE4B" w14:textId="7BCE2135" w:rsidR="007B16C4" w:rsidRPr="00232EBB" w:rsidRDefault="007B16C4" w:rsidP="00230F05">
      <w:pPr>
        <w:rPr>
          <w:noProof/>
          <w:color w:val="808080" w:themeColor="background1" w:themeShade="80"/>
          <w:sz w:val="20"/>
          <w:szCs w:val="20"/>
          <w:lang w:val="es-MX"/>
        </w:rPr>
      </w:pPr>
      <w:r w:rsidRPr="00232EBB">
        <w:rPr>
          <w:b/>
          <w:bCs/>
          <w:noProof/>
          <w:color w:val="808080" w:themeColor="background1" w:themeShade="80"/>
          <w:sz w:val="20"/>
          <w:szCs w:val="20"/>
          <w:lang w:val="es-MX"/>
        </w:rPr>
        <w:t>Gráfico</w:t>
      </w:r>
      <w:r w:rsidR="00E14CB6" w:rsidRPr="00232EBB">
        <w:rPr>
          <w:b/>
          <w:bCs/>
          <w:noProof/>
          <w:color w:val="808080" w:themeColor="background1" w:themeShade="80"/>
          <w:sz w:val="20"/>
          <w:szCs w:val="20"/>
          <w:lang w:val="es-MX"/>
        </w:rPr>
        <w:t xml:space="preserve"> 1</w:t>
      </w:r>
      <w:r w:rsidR="000743EE" w:rsidRPr="00232EBB">
        <w:rPr>
          <w:b/>
          <w:bCs/>
          <w:noProof/>
          <w:color w:val="808080" w:themeColor="background1" w:themeShade="80"/>
          <w:sz w:val="20"/>
          <w:szCs w:val="20"/>
          <w:lang w:val="es-MX"/>
        </w:rPr>
        <w:t>8</w:t>
      </w:r>
      <w:r w:rsidRPr="00232EBB">
        <w:rPr>
          <w:noProof/>
          <w:color w:val="808080" w:themeColor="background1" w:themeShade="80"/>
          <w:sz w:val="20"/>
          <w:szCs w:val="20"/>
          <w:lang w:val="es-MX"/>
        </w:rPr>
        <w:t xml:space="preserve">: Acuerdos elaborados 1er semestre           </w:t>
      </w:r>
    </w:p>
    <w:p w14:paraId="28328E42" w14:textId="487EB09D" w:rsidR="007B16C4" w:rsidRPr="00232EBB" w:rsidRDefault="00230F05" w:rsidP="007B16C4">
      <w:pPr>
        <w:pStyle w:val="ListParagraph"/>
        <w:ind w:firstLine="0"/>
        <w:rPr>
          <w:rFonts w:ascii="Times New Roman" w:hAnsi="Times New Roman"/>
          <w:noProof/>
          <w:color w:val="000000" w:themeColor="text1"/>
        </w:rPr>
      </w:pPr>
      <w:r w:rsidRPr="00232EBB">
        <w:rPr>
          <w:rFonts w:ascii="Times New Roman" w:hAnsi="Times New Roman"/>
          <w:noProof/>
          <w:color w:val="000000" w:themeColor="text1"/>
          <w:kern w:val="2"/>
          <w:szCs w:val="18"/>
          <w14:ligatures w14:val="standardContextual"/>
        </w:rPr>
        <w:lastRenderedPageBreak/>
        <w:drawing>
          <wp:anchor distT="0" distB="0" distL="114300" distR="114300" simplePos="0" relativeHeight="251692068" behindDoc="0" locked="0" layoutInCell="1" allowOverlap="1" wp14:anchorId="54DB4080" wp14:editId="185809F7">
            <wp:simplePos x="0" y="0"/>
            <wp:positionH relativeFrom="margin">
              <wp:posOffset>42545</wp:posOffset>
            </wp:positionH>
            <wp:positionV relativeFrom="paragraph">
              <wp:posOffset>369570</wp:posOffset>
            </wp:positionV>
            <wp:extent cx="4534535" cy="2340610"/>
            <wp:effectExtent l="0" t="0" r="18415" b="2540"/>
            <wp:wrapSquare wrapText="bothSides"/>
            <wp:docPr id="863865095"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margin">
              <wp14:pctWidth>0</wp14:pctWidth>
            </wp14:sizeRelH>
            <wp14:sizeRelV relativeFrom="margin">
              <wp14:pctHeight>0</wp14:pctHeight>
            </wp14:sizeRelV>
          </wp:anchor>
        </w:drawing>
      </w:r>
    </w:p>
    <w:p w14:paraId="2D8906FB" w14:textId="77777777" w:rsidR="00230F05" w:rsidRPr="00232EBB" w:rsidRDefault="00230F05" w:rsidP="000E2299">
      <w:pPr>
        <w:spacing w:line="360" w:lineRule="auto"/>
        <w:jc w:val="both"/>
        <w:rPr>
          <w:b/>
          <w:bCs/>
          <w:noProof/>
          <w:color w:val="808080" w:themeColor="background1" w:themeShade="80"/>
          <w:sz w:val="18"/>
          <w:szCs w:val="18"/>
          <w:lang w:val="es-MX"/>
        </w:rPr>
      </w:pPr>
      <w:r w:rsidRPr="00232EBB">
        <w:rPr>
          <w:b/>
          <w:bCs/>
          <w:noProof/>
          <w:color w:val="808080" w:themeColor="background1" w:themeShade="80"/>
          <w:sz w:val="18"/>
          <w:szCs w:val="18"/>
          <w:lang w:val="es-MX"/>
        </w:rPr>
        <w:t xml:space="preserve"> </w:t>
      </w:r>
    </w:p>
    <w:p w14:paraId="711C1BB6" w14:textId="10AC0522" w:rsidR="007B16C4" w:rsidRPr="00232EBB" w:rsidRDefault="007B16C4" w:rsidP="000E2299">
      <w:pPr>
        <w:spacing w:line="360" w:lineRule="auto"/>
        <w:jc w:val="both"/>
        <w:rPr>
          <w:noProof/>
          <w:color w:val="808080" w:themeColor="background1" w:themeShade="80"/>
          <w:sz w:val="18"/>
          <w:szCs w:val="18"/>
          <w:lang w:val="es-MX"/>
        </w:rPr>
      </w:pPr>
      <w:r w:rsidRPr="00232EBB">
        <w:rPr>
          <w:b/>
          <w:bCs/>
          <w:noProof/>
          <w:color w:val="808080" w:themeColor="background1" w:themeShade="80"/>
          <w:sz w:val="18"/>
          <w:szCs w:val="18"/>
          <w:lang w:val="es-MX"/>
        </w:rPr>
        <w:t xml:space="preserve">Gráfico </w:t>
      </w:r>
      <w:r w:rsidR="00E14CB6" w:rsidRPr="00232EBB">
        <w:rPr>
          <w:b/>
          <w:bCs/>
          <w:noProof/>
          <w:color w:val="808080" w:themeColor="background1" w:themeShade="80"/>
          <w:sz w:val="18"/>
          <w:szCs w:val="18"/>
          <w:lang w:val="es-MX"/>
        </w:rPr>
        <w:t>1</w:t>
      </w:r>
      <w:r w:rsidR="000743EE" w:rsidRPr="00232EBB">
        <w:rPr>
          <w:b/>
          <w:bCs/>
          <w:noProof/>
          <w:color w:val="808080" w:themeColor="background1" w:themeShade="80"/>
          <w:sz w:val="18"/>
          <w:szCs w:val="18"/>
          <w:lang w:val="es-MX"/>
        </w:rPr>
        <w:t>9</w:t>
      </w:r>
      <w:r w:rsidRPr="00232EBB">
        <w:rPr>
          <w:noProof/>
          <w:color w:val="808080" w:themeColor="background1" w:themeShade="80"/>
          <w:sz w:val="18"/>
          <w:szCs w:val="18"/>
          <w:lang w:val="es-MX"/>
        </w:rPr>
        <w:t>: Desarrollo del  Personal TSS</w:t>
      </w:r>
    </w:p>
    <w:p w14:paraId="14CC5312" w14:textId="46BD3805" w:rsidR="000E2299" w:rsidRPr="00232EBB" w:rsidRDefault="000E2299" w:rsidP="00280B1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Durante el año 2025, se incorporaron 33 nuevos colaboradores gestionándose la elaboración de los acuerdos de desempeño para estos nuevos ingresos, logrando la recepción del 100% de los mismos. Adicionalmente, se registraron 20 salidas de personal, de las cuales 19 requirieron evaluación de desempeño y 1 no requirió evaluación por vacante temporal, proceso que se gestionó y se completó en su totalidad.</w:t>
      </w:r>
    </w:p>
    <w:p w14:paraId="579ABA7B" w14:textId="1FC80F34" w:rsidR="00836944" w:rsidRPr="00232EBB" w:rsidRDefault="00836944" w:rsidP="00280B1F">
      <w:pPr>
        <w:spacing w:line="360" w:lineRule="auto"/>
        <w:jc w:val="both"/>
        <w:rPr>
          <w:noProof/>
          <w:color w:val="808080" w:themeColor="background1" w:themeShade="80"/>
          <w:szCs w:val="28"/>
          <w:lang w:val="es-MX"/>
        </w:rPr>
      </w:pPr>
      <w:r w:rsidRPr="00232EBB">
        <w:rPr>
          <w:noProof/>
          <w:color w:val="000000" w:themeColor="text1"/>
          <w:spacing w:val="0"/>
          <w:kern w:val="2"/>
          <w:sz w:val="18"/>
          <w:szCs w:val="18"/>
          <w:lang w:val="es-DO"/>
          <w14:ligatures w14:val="standardContextual"/>
        </w:rPr>
        <w:drawing>
          <wp:anchor distT="0" distB="0" distL="114300" distR="114300" simplePos="0" relativeHeight="251709476" behindDoc="0" locked="0" layoutInCell="1" allowOverlap="1" wp14:anchorId="58FC06F2" wp14:editId="167290A2">
            <wp:simplePos x="0" y="0"/>
            <wp:positionH relativeFrom="margin">
              <wp:posOffset>78105</wp:posOffset>
            </wp:positionH>
            <wp:positionV relativeFrom="paragraph">
              <wp:posOffset>123190</wp:posOffset>
            </wp:positionV>
            <wp:extent cx="4340225" cy="2535555"/>
            <wp:effectExtent l="0" t="0" r="3175" b="17145"/>
            <wp:wrapSquare wrapText="bothSides"/>
            <wp:docPr id="301813907"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14:sizeRelH relativeFrom="margin">
              <wp14:pctWidth>0</wp14:pctWidth>
            </wp14:sizeRelH>
            <wp14:sizeRelV relativeFrom="margin">
              <wp14:pctHeight>0</wp14:pctHeight>
            </wp14:sizeRelV>
          </wp:anchor>
        </w:drawing>
      </w:r>
    </w:p>
    <w:p w14:paraId="1FA784F4" w14:textId="3383F4A5" w:rsidR="007401A3" w:rsidRPr="00232EBB" w:rsidRDefault="007401A3" w:rsidP="007401A3">
      <w:pPr>
        <w:spacing w:line="360" w:lineRule="auto"/>
        <w:jc w:val="both"/>
        <w:rPr>
          <w:noProof/>
          <w:color w:val="808080" w:themeColor="background1" w:themeShade="80"/>
          <w:sz w:val="18"/>
          <w:szCs w:val="18"/>
          <w:lang w:val="es-MX"/>
        </w:rPr>
      </w:pPr>
      <w:r w:rsidRPr="00232EBB">
        <w:rPr>
          <w:b/>
          <w:bCs/>
          <w:noProof/>
          <w:color w:val="808080" w:themeColor="background1" w:themeShade="80"/>
          <w:sz w:val="18"/>
          <w:szCs w:val="18"/>
          <w:lang w:val="es-MX"/>
        </w:rPr>
        <w:t xml:space="preserve">Gráfico </w:t>
      </w:r>
      <w:r w:rsidR="000743EE" w:rsidRPr="00232EBB">
        <w:rPr>
          <w:b/>
          <w:bCs/>
          <w:noProof/>
          <w:color w:val="808080" w:themeColor="background1" w:themeShade="80"/>
          <w:sz w:val="18"/>
          <w:szCs w:val="18"/>
          <w:lang w:val="es-MX"/>
        </w:rPr>
        <w:t>20</w:t>
      </w:r>
      <w:r w:rsidRPr="00232EBB">
        <w:rPr>
          <w:noProof/>
          <w:color w:val="808080" w:themeColor="background1" w:themeShade="80"/>
          <w:sz w:val="18"/>
          <w:szCs w:val="18"/>
          <w:lang w:val="es-MX"/>
        </w:rPr>
        <w:t>: Nuevo Ingreso TSS</w:t>
      </w:r>
    </w:p>
    <w:p w14:paraId="1CDFAD98" w14:textId="77777777" w:rsidR="00277D3D" w:rsidRPr="00232EBB" w:rsidRDefault="00230F05" w:rsidP="007401A3">
      <w:pPr>
        <w:spacing w:line="360" w:lineRule="auto"/>
        <w:jc w:val="both"/>
        <w:rPr>
          <w:noProof/>
          <w:color w:val="808080" w:themeColor="background1" w:themeShade="80"/>
          <w:sz w:val="22"/>
          <w:lang w:val="es-MX"/>
        </w:rPr>
      </w:pPr>
      <w:r w:rsidRPr="00232EBB">
        <w:rPr>
          <w:noProof/>
          <w:color w:val="808080" w:themeColor="background1" w:themeShade="80"/>
          <w:sz w:val="22"/>
          <w:lang w:val="es-MX"/>
        </w:rPr>
        <w:lastRenderedPageBreak/>
        <w:drawing>
          <wp:anchor distT="0" distB="0" distL="114300" distR="114300" simplePos="0" relativeHeight="251696164" behindDoc="0" locked="0" layoutInCell="1" allowOverlap="1" wp14:anchorId="4B30B2E7" wp14:editId="4CEC646C">
            <wp:simplePos x="0" y="0"/>
            <wp:positionH relativeFrom="margin">
              <wp:posOffset>279400</wp:posOffset>
            </wp:positionH>
            <wp:positionV relativeFrom="paragraph">
              <wp:posOffset>2116455</wp:posOffset>
            </wp:positionV>
            <wp:extent cx="4132580" cy="2319655"/>
            <wp:effectExtent l="0" t="0" r="1270" b="4445"/>
            <wp:wrapSquare wrapText="bothSides"/>
            <wp:docPr id="307299295"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margin">
              <wp14:pctWidth>0</wp14:pctWidth>
            </wp14:sizeRelH>
            <wp14:sizeRelV relativeFrom="margin">
              <wp14:pctHeight>0</wp14:pctHeight>
            </wp14:sizeRelV>
          </wp:anchor>
        </w:drawing>
      </w:r>
      <w:r w:rsidR="000E2299" w:rsidRPr="00232EBB">
        <w:rPr>
          <w:noProof/>
          <w:color w:val="808080" w:themeColor="background1" w:themeShade="80"/>
          <w:szCs w:val="28"/>
          <w:lang w:val="es-MX"/>
        </w:rPr>
        <w:t>En conformidad con el proceso de evaluación del desempeño establecido, se ha gestionado la documentación de las reuniones de monitoreo entre supervisor y supervisado. Estas minutas permiten evidenciar el estatus de las metas propuestas, así como identificar y abordar cualquier inconveniente que pudiera afectar su cumplimiento. Durante el año 2025, se registró un porcentaje de entrega satisfactoria del 100% de las minutas de monitoreo planificadas</w:t>
      </w:r>
      <w:r w:rsidR="000E2299" w:rsidRPr="00232EBB">
        <w:rPr>
          <w:noProof/>
          <w:color w:val="808080" w:themeColor="background1" w:themeShade="80"/>
          <w:sz w:val="22"/>
          <w:lang w:val="es-MX"/>
        </w:rPr>
        <w:t xml:space="preserve">. </w:t>
      </w:r>
      <w:bookmarkStart w:id="158" w:name="_Toc154736728"/>
      <w:bookmarkEnd w:id="125"/>
      <w:bookmarkEnd w:id="126"/>
      <w:bookmarkEnd w:id="127"/>
      <w:bookmarkEnd w:id="128"/>
      <w:bookmarkEnd w:id="129"/>
      <w:bookmarkEnd w:id="130"/>
    </w:p>
    <w:p w14:paraId="71DA2C22" w14:textId="77777777" w:rsidR="00277D3D" w:rsidRPr="00232EBB" w:rsidRDefault="00277D3D" w:rsidP="007401A3">
      <w:pPr>
        <w:spacing w:line="360" w:lineRule="auto"/>
        <w:jc w:val="both"/>
        <w:rPr>
          <w:noProof/>
          <w:color w:val="808080" w:themeColor="background1" w:themeShade="80"/>
          <w:sz w:val="22"/>
          <w:lang w:val="es-MX"/>
        </w:rPr>
      </w:pPr>
    </w:p>
    <w:p w14:paraId="6B639973" w14:textId="77777777" w:rsidR="00277D3D" w:rsidRPr="00232EBB" w:rsidRDefault="00277D3D" w:rsidP="007401A3">
      <w:pPr>
        <w:spacing w:line="360" w:lineRule="auto"/>
        <w:jc w:val="both"/>
        <w:rPr>
          <w:noProof/>
          <w:color w:val="808080" w:themeColor="background1" w:themeShade="80"/>
          <w:sz w:val="22"/>
          <w:lang w:val="es-MX"/>
        </w:rPr>
      </w:pPr>
    </w:p>
    <w:p w14:paraId="4DA4F178" w14:textId="77777777" w:rsidR="00277D3D" w:rsidRPr="00232EBB" w:rsidRDefault="00277D3D" w:rsidP="007401A3">
      <w:pPr>
        <w:spacing w:line="360" w:lineRule="auto"/>
        <w:jc w:val="both"/>
        <w:rPr>
          <w:noProof/>
          <w:color w:val="808080" w:themeColor="background1" w:themeShade="80"/>
          <w:sz w:val="22"/>
          <w:lang w:val="es-MX"/>
        </w:rPr>
      </w:pPr>
    </w:p>
    <w:p w14:paraId="14FB26E3" w14:textId="77777777" w:rsidR="00277D3D" w:rsidRPr="00232EBB" w:rsidRDefault="00277D3D" w:rsidP="007401A3">
      <w:pPr>
        <w:spacing w:line="360" w:lineRule="auto"/>
        <w:jc w:val="both"/>
        <w:rPr>
          <w:noProof/>
          <w:color w:val="808080" w:themeColor="background1" w:themeShade="80"/>
          <w:sz w:val="22"/>
          <w:lang w:val="es-MX"/>
        </w:rPr>
      </w:pPr>
    </w:p>
    <w:p w14:paraId="29081AEC" w14:textId="77777777" w:rsidR="00277D3D" w:rsidRPr="00232EBB" w:rsidRDefault="00277D3D" w:rsidP="007401A3">
      <w:pPr>
        <w:spacing w:line="360" w:lineRule="auto"/>
        <w:jc w:val="both"/>
        <w:rPr>
          <w:noProof/>
          <w:color w:val="808080" w:themeColor="background1" w:themeShade="80"/>
          <w:sz w:val="22"/>
          <w:lang w:val="es-MX"/>
        </w:rPr>
      </w:pPr>
    </w:p>
    <w:p w14:paraId="39FB10A0" w14:textId="77777777" w:rsidR="00277D3D" w:rsidRPr="00232EBB" w:rsidRDefault="00277D3D" w:rsidP="007401A3">
      <w:pPr>
        <w:spacing w:line="360" w:lineRule="auto"/>
        <w:jc w:val="both"/>
        <w:rPr>
          <w:noProof/>
          <w:color w:val="808080" w:themeColor="background1" w:themeShade="80"/>
          <w:sz w:val="22"/>
          <w:lang w:val="es-MX"/>
        </w:rPr>
      </w:pPr>
    </w:p>
    <w:p w14:paraId="3DB7A4B7" w14:textId="77777777" w:rsidR="00277D3D" w:rsidRPr="00232EBB" w:rsidRDefault="00277D3D" w:rsidP="007401A3">
      <w:pPr>
        <w:spacing w:line="360" w:lineRule="auto"/>
        <w:jc w:val="both"/>
        <w:rPr>
          <w:noProof/>
          <w:color w:val="808080" w:themeColor="background1" w:themeShade="80"/>
          <w:sz w:val="22"/>
          <w:lang w:val="es-MX"/>
        </w:rPr>
      </w:pPr>
    </w:p>
    <w:p w14:paraId="5976410B" w14:textId="63EA3AE5" w:rsidR="00277D3D" w:rsidRPr="00232EBB" w:rsidRDefault="00277D3D" w:rsidP="007401A3">
      <w:pPr>
        <w:spacing w:line="360" w:lineRule="auto"/>
        <w:jc w:val="both"/>
        <w:rPr>
          <w:b/>
          <w:bCs/>
          <w:noProof/>
          <w:color w:val="808080" w:themeColor="background1" w:themeShade="80"/>
          <w:sz w:val="18"/>
          <w:szCs w:val="18"/>
          <w:lang w:val="es-MX"/>
        </w:rPr>
      </w:pPr>
      <w:r w:rsidRPr="00232EBB">
        <w:rPr>
          <w:b/>
          <w:bCs/>
          <w:noProof/>
          <w:color w:val="808080" w:themeColor="background1" w:themeShade="80"/>
          <w:sz w:val="18"/>
          <w:szCs w:val="18"/>
          <w:lang w:val="es-MX"/>
        </w:rPr>
        <w:t xml:space="preserve">Gráfico </w:t>
      </w:r>
      <w:r w:rsidR="000743EE" w:rsidRPr="00232EBB">
        <w:rPr>
          <w:b/>
          <w:bCs/>
          <w:noProof/>
          <w:color w:val="808080" w:themeColor="background1" w:themeShade="80"/>
          <w:sz w:val="18"/>
          <w:szCs w:val="18"/>
          <w:lang w:val="es-MX"/>
        </w:rPr>
        <w:t>21</w:t>
      </w:r>
      <w:r w:rsidRPr="00232EBB">
        <w:rPr>
          <w:b/>
          <w:bCs/>
          <w:noProof/>
          <w:color w:val="808080" w:themeColor="background1" w:themeShade="80"/>
          <w:sz w:val="18"/>
          <w:szCs w:val="18"/>
          <w:lang w:val="es-MX"/>
        </w:rPr>
        <w:t xml:space="preserve">: </w:t>
      </w:r>
      <w:r w:rsidRPr="00232EBB">
        <w:rPr>
          <w:noProof/>
          <w:color w:val="808080" w:themeColor="background1" w:themeShade="80"/>
          <w:sz w:val="18"/>
          <w:szCs w:val="18"/>
          <w:lang w:val="es-MX"/>
        </w:rPr>
        <w:t>Minutas</w:t>
      </w:r>
    </w:p>
    <w:p w14:paraId="6EB1B6F8" w14:textId="2BE23E28" w:rsidR="00F65B16" w:rsidRDefault="00F65B16" w:rsidP="00CB5570">
      <w:pPr>
        <w:spacing w:line="360" w:lineRule="auto"/>
        <w:jc w:val="both"/>
        <w:rPr>
          <w:b/>
          <w:bCs/>
          <w:noProof/>
          <w:color w:val="808080" w:themeColor="background1" w:themeShade="80"/>
          <w:sz w:val="18"/>
          <w:szCs w:val="18"/>
          <w:lang w:val="es-MX"/>
        </w:rPr>
      </w:pPr>
      <w:r w:rsidRPr="00232EBB">
        <w:rPr>
          <w:noProof/>
          <w:color w:val="000000" w:themeColor="text1"/>
          <w:spacing w:val="0"/>
          <w:kern w:val="2"/>
          <w:sz w:val="18"/>
          <w:szCs w:val="18"/>
          <w:lang w:val="es-DO"/>
          <w14:ligatures w14:val="standardContextual"/>
        </w:rPr>
        <w:drawing>
          <wp:anchor distT="0" distB="0" distL="114300" distR="114300" simplePos="0" relativeHeight="251715620" behindDoc="0" locked="0" layoutInCell="1" allowOverlap="1" wp14:anchorId="37619582" wp14:editId="65A17DDB">
            <wp:simplePos x="0" y="0"/>
            <wp:positionH relativeFrom="margin">
              <wp:posOffset>0</wp:posOffset>
            </wp:positionH>
            <wp:positionV relativeFrom="margin">
              <wp:posOffset>5245735</wp:posOffset>
            </wp:positionV>
            <wp:extent cx="4803140" cy="2621915"/>
            <wp:effectExtent l="0" t="0" r="16510" b="6985"/>
            <wp:wrapSquare wrapText="bothSides"/>
            <wp:docPr id="1674306814"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H relativeFrom="margin">
              <wp14:pctWidth>0</wp14:pctWidth>
            </wp14:sizeRelH>
            <wp14:sizeRelV relativeFrom="margin">
              <wp14:pctHeight>0</wp14:pctHeight>
            </wp14:sizeRelV>
          </wp:anchor>
        </w:drawing>
      </w:r>
    </w:p>
    <w:p w14:paraId="547668BC" w14:textId="77777777" w:rsidR="00F65B16" w:rsidRDefault="00F65B16" w:rsidP="00CB5570">
      <w:pPr>
        <w:spacing w:line="360" w:lineRule="auto"/>
        <w:jc w:val="both"/>
        <w:rPr>
          <w:b/>
          <w:bCs/>
          <w:noProof/>
          <w:color w:val="808080" w:themeColor="background1" w:themeShade="80"/>
          <w:sz w:val="18"/>
          <w:szCs w:val="18"/>
          <w:lang w:val="es-MX"/>
        </w:rPr>
      </w:pPr>
    </w:p>
    <w:p w14:paraId="5551906F" w14:textId="32C541B4" w:rsidR="00CB5570" w:rsidRPr="00232EBB" w:rsidRDefault="00CB5570" w:rsidP="00CB5570">
      <w:pPr>
        <w:spacing w:line="360" w:lineRule="auto"/>
        <w:jc w:val="both"/>
        <w:rPr>
          <w:noProof/>
          <w:color w:val="808080" w:themeColor="background1" w:themeShade="80"/>
          <w:szCs w:val="28"/>
          <w:lang w:val="es-MX"/>
        </w:rPr>
      </w:pPr>
      <w:r w:rsidRPr="00232EBB">
        <w:rPr>
          <w:b/>
          <w:bCs/>
          <w:noProof/>
          <w:color w:val="808080" w:themeColor="background1" w:themeShade="80"/>
          <w:sz w:val="18"/>
          <w:szCs w:val="18"/>
          <w:lang w:val="es-MX"/>
        </w:rPr>
        <w:t xml:space="preserve">Gráfico </w:t>
      </w:r>
      <w:r w:rsidR="000743EE" w:rsidRPr="00232EBB">
        <w:rPr>
          <w:b/>
          <w:bCs/>
          <w:noProof/>
          <w:color w:val="808080" w:themeColor="background1" w:themeShade="80"/>
          <w:sz w:val="18"/>
          <w:szCs w:val="18"/>
          <w:lang w:val="es-MX"/>
        </w:rPr>
        <w:t>22</w:t>
      </w:r>
      <w:r w:rsidRPr="00232EBB">
        <w:rPr>
          <w:noProof/>
          <w:color w:val="808080" w:themeColor="background1" w:themeShade="80"/>
          <w:sz w:val="18"/>
          <w:szCs w:val="18"/>
          <w:lang w:val="es-MX"/>
        </w:rPr>
        <w:t>: Excolaboradores bajo acuerdo de desempeño</w:t>
      </w:r>
    </w:p>
    <w:p w14:paraId="3B6E26C9" w14:textId="30B1C79C" w:rsidR="000E2299" w:rsidRPr="00232EBB" w:rsidRDefault="000E2299" w:rsidP="00CB5570">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lastRenderedPageBreak/>
        <w:t>En junio, la Tesorería de la Seguridad Social (TSS) elaboró su Diccionario de Competencias TSS, una herramienta estratégica</w:t>
      </w:r>
      <w:r w:rsidR="00433315" w:rsidRPr="00232EBB">
        <w:rPr>
          <w:noProof/>
          <w:color w:val="808080" w:themeColor="background1" w:themeShade="80"/>
          <w:szCs w:val="28"/>
          <w:lang w:val="es-MX"/>
        </w:rPr>
        <w:t xml:space="preserve"> </w:t>
      </w:r>
      <w:r w:rsidRPr="00232EBB">
        <w:rPr>
          <w:noProof/>
          <w:color w:val="808080" w:themeColor="background1" w:themeShade="80"/>
          <w:szCs w:val="28"/>
          <w:lang w:val="es-MX"/>
        </w:rPr>
        <w:t>crucial para la gestión del talento. Su propósito es alinear el desempeño de los colaboradores con los objetivos institucionales al identificar y aplicar las competencias necesarias para el éxito en sus funciones.</w:t>
      </w:r>
    </w:p>
    <w:p w14:paraId="0BD2B93A" w14:textId="4ACBAE14" w:rsidR="000E2299" w:rsidRPr="00232EBB" w:rsidRDefault="000E2299" w:rsidP="00CB5570">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Según Alles (2016), las competencias son el conjunto de conocimientos, habilidades, actitudes y comportamientos observables que una persona debe demostrar para desempeñarse eficazmente en un puesto de trabajo.</w:t>
      </w:r>
    </w:p>
    <w:p w14:paraId="2E188F22" w14:textId="74826DE6" w:rsidR="000E2299" w:rsidRPr="00232EBB" w:rsidRDefault="000E2299" w:rsidP="00280B1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Tras obtener la aprobación del Ministerio de Administración Pública (MAP), se iniciará su implementación durante el año 2026.</w:t>
      </w:r>
    </w:p>
    <w:p w14:paraId="7F37D381" w14:textId="77777777" w:rsidR="000E2299" w:rsidRPr="00232EBB" w:rsidRDefault="000E2299" w:rsidP="00280B1F">
      <w:pPr>
        <w:spacing w:line="360" w:lineRule="auto"/>
        <w:jc w:val="both"/>
        <w:rPr>
          <w:b/>
          <w:bCs/>
          <w:noProof/>
          <w:color w:val="808080" w:themeColor="background1" w:themeShade="80"/>
          <w:szCs w:val="28"/>
          <w:lang w:val="es-MX"/>
        </w:rPr>
      </w:pPr>
      <w:r w:rsidRPr="00232EBB">
        <w:rPr>
          <w:b/>
          <w:bCs/>
          <w:noProof/>
          <w:color w:val="808080" w:themeColor="background1" w:themeShade="80"/>
          <w:szCs w:val="28"/>
          <w:lang w:val="es-MX"/>
        </w:rPr>
        <w:t>La implementación de este diccionario permitirá:</w:t>
      </w:r>
    </w:p>
    <w:p w14:paraId="1BB9F8FF" w14:textId="77777777" w:rsidR="000E2299" w:rsidRPr="00232EBB" w:rsidRDefault="000E2299" w:rsidP="00280B1F">
      <w:pPr>
        <w:numPr>
          <w:ilvl w:val="0"/>
          <w:numId w:val="46"/>
        </w:numPr>
        <w:spacing w:line="360" w:lineRule="auto"/>
        <w:jc w:val="both"/>
        <w:rPr>
          <w:noProof/>
          <w:color w:val="808080" w:themeColor="background1" w:themeShade="80"/>
          <w:szCs w:val="28"/>
          <w:lang w:val="es-MX"/>
        </w:rPr>
      </w:pPr>
      <w:r w:rsidRPr="00232EBB">
        <w:rPr>
          <w:noProof/>
          <w:color w:val="808080" w:themeColor="background1" w:themeShade="80"/>
          <w:szCs w:val="28"/>
          <w:lang w:val="es-MX"/>
        </w:rPr>
        <w:t>Evaluar el desempeño individual de forma objetiva.</w:t>
      </w:r>
    </w:p>
    <w:p w14:paraId="05C19B85" w14:textId="77777777" w:rsidR="00DD7973" w:rsidRPr="00232EBB" w:rsidRDefault="00DD7973" w:rsidP="00DD7973">
      <w:pPr>
        <w:numPr>
          <w:ilvl w:val="0"/>
          <w:numId w:val="46"/>
        </w:numPr>
        <w:spacing w:line="360" w:lineRule="auto"/>
        <w:jc w:val="both"/>
        <w:rPr>
          <w:noProof/>
          <w:color w:val="808080" w:themeColor="background1" w:themeShade="80"/>
          <w:szCs w:val="28"/>
          <w:lang w:val="es-MX"/>
        </w:rPr>
      </w:pPr>
      <w:r w:rsidRPr="00232EBB">
        <w:rPr>
          <w:noProof/>
          <w:color w:val="808080" w:themeColor="background1" w:themeShade="80"/>
          <w:szCs w:val="28"/>
          <w:lang w:val="es-MX"/>
        </w:rPr>
        <w:t>Fortalecer procesos clave como el reclutamiento y selección, la capacitación y el desarrollo, y la descripción y actualización de perfiles de puestos.</w:t>
      </w:r>
    </w:p>
    <w:p w14:paraId="2661CD73" w14:textId="77777777" w:rsidR="000E2299" w:rsidRPr="00232EBB" w:rsidRDefault="000E2299" w:rsidP="00280B1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 xml:space="preserve">Esto asegura que cada colaborador contribuya efectivamente al crecimiento institucional y a la mejora continua. </w:t>
      </w:r>
    </w:p>
    <w:p w14:paraId="11136B67" w14:textId="77777777" w:rsidR="000E2299" w:rsidRPr="00232EBB" w:rsidRDefault="000E2299" w:rsidP="00280B1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El Diccionario de Competencias TSS fue adaptado del Diccionario General de Competencias y Comportamientos del Ministerio de Administración Pública (MAP), integrando el modelo metodológico de Martha Alles. Esta adaptación garantiza un enfoque contextualizado, práctico y alineado con la cultura organizacional de la TSS.</w:t>
      </w:r>
    </w:p>
    <w:p w14:paraId="310C11DB" w14:textId="77777777" w:rsidR="000E2299" w:rsidRPr="00232EBB" w:rsidRDefault="000E2299" w:rsidP="00280B1F">
      <w:pPr>
        <w:spacing w:after="240" w:line="360" w:lineRule="auto"/>
        <w:jc w:val="both"/>
        <w:rPr>
          <w:noProof/>
          <w:color w:val="808080" w:themeColor="background1" w:themeShade="80"/>
          <w:szCs w:val="28"/>
          <w:lang w:val="es-MX"/>
        </w:rPr>
      </w:pPr>
      <w:r w:rsidRPr="00232EBB">
        <w:rPr>
          <w:noProof/>
          <w:color w:val="808080" w:themeColor="background1" w:themeShade="80"/>
          <w:szCs w:val="28"/>
          <w:lang w:val="es-MX"/>
        </w:rPr>
        <w:t>El proceso se estructura a partir de 16 competencias, organizadas en cuatro categorías principales:</w:t>
      </w:r>
    </w:p>
    <w:p w14:paraId="3715C451" w14:textId="77777777" w:rsidR="000E2299" w:rsidRPr="00232EBB" w:rsidRDefault="000E2299" w:rsidP="00280B1F">
      <w:pPr>
        <w:spacing w:after="120" w:line="360" w:lineRule="auto"/>
        <w:rPr>
          <w:noProof/>
          <w:color w:val="808080" w:themeColor="background1" w:themeShade="80"/>
          <w:szCs w:val="28"/>
          <w:lang w:val="es-MX"/>
        </w:rPr>
      </w:pPr>
      <w:r w:rsidRPr="00232EBB">
        <w:rPr>
          <w:b/>
          <w:bCs/>
          <w:noProof/>
          <w:color w:val="808080" w:themeColor="background1" w:themeShade="80"/>
          <w:szCs w:val="28"/>
          <w:lang w:val="es-MX"/>
        </w:rPr>
        <w:lastRenderedPageBreak/>
        <w:t>Competencias Institucionales</w:t>
      </w:r>
      <w:r w:rsidRPr="00232EBB">
        <w:rPr>
          <w:noProof/>
          <w:color w:val="808080" w:themeColor="background1" w:themeShade="80"/>
          <w:szCs w:val="28"/>
          <w:lang w:val="es-MX"/>
        </w:rPr>
        <w:t>: Reflejan los principios y valores de la TSS y son aplicables a todos los puestos. Se dividen en:</w:t>
      </w:r>
    </w:p>
    <w:p w14:paraId="59193562" w14:textId="77777777" w:rsidR="000E2299" w:rsidRPr="00232EBB" w:rsidRDefault="000E2299" w:rsidP="00280B1F">
      <w:pPr>
        <w:pStyle w:val="ListParagraph"/>
        <w:numPr>
          <w:ilvl w:val="0"/>
          <w:numId w:val="47"/>
        </w:numPr>
        <w:spacing w:after="120" w:line="360" w:lineRule="auto"/>
        <w:rPr>
          <w:rFonts w:ascii="Times New Roman" w:eastAsiaTheme="minorHAnsi" w:hAnsi="Times New Roman"/>
          <w:noProof/>
          <w:color w:val="808080" w:themeColor="background1" w:themeShade="80"/>
          <w:spacing w:val="20"/>
          <w:sz w:val="24"/>
          <w:szCs w:val="28"/>
          <w:lang w:val="es-MX"/>
        </w:rPr>
      </w:pPr>
      <w:r w:rsidRPr="00232EBB">
        <w:rPr>
          <w:rFonts w:ascii="Times New Roman" w:eastAsiaTheme="minorHAnsi" w:hAnsi="Times New Roman"/>
          <w:noProof/>
          <w:color w:val="808080" w:themeColor="background1" w:themeShade="80"/>
          <w:spacing w:val="20"/>
          <w:sz w:val="24"/>
          <w:szCs w:val="28"/>
          <w:lang w:val="es-MX"/>
        </w:rPr>
        <w:t>Cardinales: Representan la visión esencial de la administración pública.</w:t>
      </w:r>
    </w:p>
    <w:p w14:paraId="3721E843" w14:textId="77777777" w:rsidR="000E2299" w:rsidRPr="00232EBB" w:rsidRDefault="000E2299" w:rsidP="00280B1F">
      <w:pPr>
        <w:pStyle w:val="ListParagraph"/>
        <w:numPr>
          <w:ilvl w:val="0"/>
          <w:numId w:val="47"/>
        </w:numPr>
        <w:spacing w:after="120" w:line="360" w:lineRule="auto"/>
        <w:rPr>
          <w:rFonts w:ascii="Times New Roman" w:eastAsiaTheme="minorHAnsi" w:hAnsi="Times New Roman"/>
          <w:noProof/>
          <w:color w:val="808080" w:themeColor="background1" w:themeShade="80"/>
          <w:spacing w:val="20"/>
          <w:sz w:val="24"/>
          <w:szCs w:val="28"/>
          <w:lang w:val="es-MX"/>
        </w:rPr>
      </w:pPr>
      <w:r w:rsidRPr="00232EBB">
        <w:rPr>
          <w:rFonts w:ascii="Times New Roman" w:eastAsiaTheme="minorHAnsi" w:hAnsi="Times New Roman"/>
          <w:noProof/>
          <w:color w:val="808080" w:themeColor="background1" w:themeShade="80"/>
          <w:spacing w:val="20"/>
          <w:sz w:val="24"/>
          <w:szCs w:val="28"/>
          <w:lang w:val="es-MX"/>
        </w:rPr>
        <w:t>Del Régimen Ético: Fundamentales para la ética y disciplina en la administración pública.</w:t>
      </w:r>
    </w:p>
    <w:p w14:paraId="2AD82F41" w14:textId="77777777" w:rsidR="000E2299" w:rsidRPr="00232EBB" w:rsidRDefault="000E2299" w:rsidP="00280B1F">
      <w:pPr>
        <w:spacing w:line="360" w:lineRule="auto"/>
        <w:contextualSpacing/>
        <w:jc w:val="both"/>
        <w:rPr>
          <w:noProof/>
          <w:color w:val="808080" w:themeColor="background1" w:themeShade="80"/>
          <w:szCs w:val="28"/>
          <w:lang w:val="es-MX"/>
        </w:rPr>
      </w:pPr>
      <w:r w:rsidRPr="00232EBB">
        <w:rPr>
          <w:b/>
          <w:bCs/>
          <w:noProof/>
          <w:color w:val="808080" w:themeColor="background1" w:themeShade="80"/>
          <w:szCs w:val="28"/>
          <w:lang w:val="es-MX"/>
        </w:rPr>
        <w:t>Competencias Funcionales y Directivas:</w:t>
      </w:r>
      <w:r w:rsidRPr="00232EBB">
        <w:rPr>
          <w:noProof/>
          <w:color w:val="808080" w:themeColor="background1" w:themeShade="80"/>
          <w:szCs w:val="28"/>
          <w:lang w:val="es-MX"/>
        </w:rPr>
        <w:t xml:space="preserve"> Se definen tras un análisis funcional del puesto:</w:t>
      </w:r>
    </w:p>
    <w:p w14:paraId="42998D15" w14:textId="77777777" w:rsidR="000E2299" w:rsidRPr="00232EBB" w:rsidRDefault="000E2299" w:rsidP="00280B1F">
      <w:pPr>
        <w:pStyle w:val="ListParagraph"/>
        <w:numPr>
          <w:ilvl w:val="0"/>
          <w:numId w:val="47"/>
        </w:numPr>
        <w:spacing w:after="120" w:line="360" w:lineRule="auto"/>
        <w:rPr>
          <w:rFonts w:ascii="Times New Roman" w:eastAsiaTheme="minorHAnsi" w:hAnsi="Times New Roman"/>
          <w:noProof/>
          <w:color w:val="808080" w:themeColor="background1" w:themeShade="80"/>
          <w:spacing w:val="20"/>
          <w:sz w:val="24"/>
          <w:szCs w:val="28"/>
          <w:lang w:val="es-MX"/>
        </w:rPr>
      </w:pPr>
      <w:r w:rsidRPr="00232EBB">
        <w:rPr>
          <w:rFonts w:ascii="Times New Roman" w:eastAsiaTheme="minorHAnsi" w:hAnsi="Times New Roman"/>
          <w:noProof/>
          <w:color w:val="808080" w:themeColor="background1" w:themeShade="80"/>
          <w:spacing w:val="20"/>
          <w:sz w:val="24"/>
          <w:szCs w:val="28"/>
          <w:lang w:val="es-MX"/>
        </w:rPr>
        <w:t>Funcionales: Comunes a múltiples puestos y ligadas a la función, jerarquía y relaciones internas (ej., trabajo en equipo, comunicación efectiva).</w:t>
      </w:r>
    </w:p>
    <w:p w14:paraId="17C62883" w14:textId="77777777" w:rsidR="000E2299" w:rsidRPr="00232EBB" w:rsidRDefault="000E2299" w:rsidP="00280B1F">
      <w:pPr>
        <w:pStyle w:val="ListParagraph"/>
        <w:numPr>
          <w:ilvl w:val="0"/>
          <w:numId w:val="47"/>
        </w:numPr>
        <w:spacing w:after="120" w:line="360" w:lineRule="auto"/>
        <w:rPr>
          <w:rFonts w:ascii="Times New Roman" w:eastAsiaTheme="minorHAnsi" w:hAnsi="Times New Roman"/>
          <w:noProof/>
          <w:color w:val="808080" w:themeColor="background1" w:themeShade="80"/>
          <w:spacing w:val="20"/>
          <w:sz w:val="24"/>
          <w:szCs w:val="28"/>
          <w:lang w:val="es-MX"/>
        </w:rPr>
      </w:pPr>
      <w:r w:rsidRPr="00232EBB">
        <w:rPr>
          <w:rFonts w:ascii="Times New Roman" w:eastAsiaTheme="minorHAnsi" w:hAnsi="Times New Roman"/>
          <w:noProof/>
          <w:color w:val="808080" w:themeColor="background1" w:themeShade="80"/>
          <w:spacing w:val="20"/>
          <w:sz w:val="24"/>
          <w:szCs w:val="28"/>
          <w:lang w:val="es-MX"/>
        </w:rPr>
        <w:t>Directivas: Específicas de funciones técnicas y especializadas, cruciales para la ejecución efectiva del cargo.</w:t>
      </w:r>
    </w:p>
    <w:p w14:paraId="11196062" w14:textId="77777777" w:rsidR="000E2299" w:rsidRPr="00232EBB" w:rsidRDefault="000E2299" w:rsidP="00280B1F">
      <w:pPr>
        <w:keepNext/>
        <w:keepLines/>
        <w:spacing w:before="160" w:after="80" w:line="360" w:lineRule="auto"/>
        <w:jc w:val="both"/>
        <w:outlineLvl w:val="1"/>
        <w:rPr>
          <w:b/>
          <w:bCs/>
          <w:noProof/>
          <w:color w:val="808080" w:themeColor="background1" w:themeShade="80"/>
          <w:szCs w:val="28"/>
          <w:lang w:val="es-MX"/>
        </w:rPr>
      </w:pPr>
      <w:bookmarkStart w:id="159" w:name="_Toc216263904"/>
      <w:bookmarkStart w:id="160" w:name="_Toc216952233"/>
      <w:r w:rsidRPr="00232EBB">
        <w:rPr>
          <w:b/>
          <w:bCs/>
          <w:noProof/>
          <w:color w:val="808080" w:themeColor="background1" w:themeShade="80"/>
          <w:szCs w:val="28"/>
          <w:lang w:val="es-MX"/>
        </w:rPr>
        <w:t>Programa de Mentoring TSS</w:t>
      </w:r>
      <w:bookmarkEnd w:id="159"/>
      <w:bookmarkEnd w:id="160"/>
    </w:p>
    <w:p w14:paraId="15935AC2" w14:textId="77777777" w:rsidR="000E2299" w:rsidRPr="00232EBB" w:rsidRDefault="000E2299" w:rsidP="00280B1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Durante el segundo trimestre, la TSS sentó las bases para el Programa de Mentoring, concebido como una estrategia clave para la gestión del talento y desarrollado como parte de una iniciativa contemplada en el POA 2025.</w:t>
      </w:r>
    </w:p>
    <w:p w14:paraId="510D7F12" w14:textId="09E9AF99" w:rsidR="000E2299" w:rsidRPr="00232EBB" w:rsidRDefault="000E2299" w:rsidP="00280B1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Este programa busca fortalecer las capacidades técnicas e institucionales mediante la transmisión estructurada de conocimiento. Consiste en que colaboradores experimentados, denominados mentores, compartan sus conocimientos, habilidades, aprendizajes y buenas prácticas con colegas menos experimentados, los mentees, dentro de un marco de acompañamiento y orientación al servicio. La implementación de este programa está prevista para el año 2026.</w:t>
      </w:r>
    </w:p>
    <w:p w14:paraId="0DD0B108" w14:textId="77777777" w:rsidR="000E2299" w:rsidRPr="00232EBB" w:rsidRDefault="000E2299" w:rsidP="00280B1F">
      <w:pPr>
        <w:spacing w:after="120" w:line="360" w:lineRule="auto"/>
        <w:jc w:val="both"/>
        <w:rPr>
          <w:noProof/>
          <w:color w:val="808080" w:themeColor="background1" w:themeShade="80"/>
          <w:szCs w:val="28"/>
          <w:lang w:val="es-MX"/>
        </w:rPr>
      </w:pPr>
      <w:r w:rsidRPr="00232EBB">
        <w:rPr>
          <w:noProof/>
          <w:color w:val="808080" w:themeColor="background1" w:themeShade="80"/>
          <w:szCs w:val="28"/>
          <w:lang w:val="es-MX"/>
        </w:rPr>
        <w:t>El programa de mentoring TSS impactará áreas clave como:</w:t>
      </w:r>
    </w:p>
    <w:p w14:paraId="1A242B11" w14:textId="77777777" w:rsidR="000E2299" w:rsidRPr="00232EBB" w:rsidRDefault="000E2299" w:rsidP="00280B1F">
      <w:pPr>
        <w:numPr>
          <w:ilvl w:val="0"/>
          <w:numId w:val="45"/>
        </w:numPr>
        <w:spacing w:after="200" w:line="360" w:lineRule="auto"/>
        <w:ind w:left="567" w:hanging="425"/>
        <w:contextualSpacing/>
        <w:jc w:val="both"/>
        <w:rPr>
          <w:noProof/>
          <w:color w:val="808080" w:themeColor="background1" w:themeShade="80"/>
          <w:szCs w:val="28"/>
          <w:lang w:val="es-MX"/>
        </w:rPr>
      </w:pPr>
      <w:r w:rsidRPr="00232EBB">
        <w:rPr>
          <w:noProof/>
          <w:color w:val="808080" w:themeColor="background1" w:themeShade="80"/>
          <w:szCs w:val="28"/>
          <w:lang w:val="es-MX"/>
        </w:rPr>
        <w:t>Legislación y normativas vigentes (Ley 87-01 y sus reglamentos)</w:t>
      </w:r>
    </w:p>
    <w:p w14:paraId="7894F6A0" w14:textId="77777777" w:rsidR="000E2299" w:rsidRPr="00232EBB" w:rsidRDefault="000E2299" w:rsidP="00280B1F">
      <w:pPr>
        <w:numPr>
          <w:ilvl w:val="0"/>
          <w:numId w:val="45"/>
        </w:numPr>
        <w:spacing w:after="200" w:line="360" w:lineRule="auto"/>
        <w:ind w:left="567" w:hanging="425"/>
        <w:contextualSpacing/>
        <w:jc w:val="both"/>
        <w:rPr>
          <w:noProof/>
          <w:color w:val="808080" w:themeColor="background1" w:themeShade="80"/>
          <w:szCs w:val="28"/>
          <w:lang w:val="es-MX"/>
        </w:rPr>
      </w:pPr>
      <w:r w:rsidRPr="00232EBB">
        <w:rPr>
          <w:noProof/>
          <w:color w:val="808080" w:themeColor="background1" w:themeShade="80"/>
          <w:szCs w:val="28"/>
          <w:lang w:val="es-MX"/>
        </w:rPr>
        <w:lastRenderedPageBreak/>
        <w:t>Procesos de afiliación y recaudación</w:t>
      </w:r>
    </w:p>
    <w:p w14:paraId="05C654F6" w14:textId="77777777" w:rsidR="000E2299" w:rsidRPr="00232EBB" w:rsidRDefault="000E2299" w:rsidP="00280B1F">
      <w:pPr>
        <w:numPr>
          <w:ilvl w:val="0"/>
          <w:numId w:val="45"/>
        </w:numPr>
        <w:spacing w:after="200" w:line="360" w:lineRule="auto"/>
        <w:ind w:left="567" w:hanging="425"/>
        <w:contextualSpacing/>
        <w:jc w:val="both"/>
        <w:rPr>
          <w:noProof/>
          <w:color w:val="808080" w:themeColor="background1" w:themeShade="80"/>
          <w:szCs w:val="28"/>
          <w:lang w:val="es-MX"/>
        </w:rPr>
      </w:pPr>
      <w:r w:rsidRPr="00232EBB">
        <w:rPr>
          <w:noProof/>
          <w:color w:val="808080" w:themeColor="background1" w:themeShade="80"/>
          <w:szCs w:val="28"/>
          <w:lang w:val="es-MX"/>
        </w:rPr>
        <w:t>Trámite y validación de subsidios</w:t>
      </w:r>
    </w:p>
    <w:p w14:paraId="24B60629" w14:textId="77777777" w:rsidR="000E2299" w:rsidRPr="00232EBB" w:rsidRDefault="000E2299" w:rsidP="00280B1F">
      <w:pPr>
        <w:numPr>
          <w:ilvl w:val="0"/>
          <w:numId w:val="45"/>
        </w:numPr>
        <w:spacing w:after="200" w:line="360" w:lineRule="auto"/>
        <w:ind w:left="567" w:hanging="425"/>
        <w:contextualSpacing/>
        <w:jc w:val="both"/>
        <w:rPr>
          <w:noProof/>
          <w:color w:val="808080" w:themeColor="background1" w:themeShade="80"/>
          <w:szCs w:val="28"/>
          <w:lang w:val="es-MX"/>
        </w:rPr>
      </w:pPr>
      <w:r w:rsidRPr="00232EBB">
        <w:rPr>
          <w:noProof/>
          <w:color w:val="808080" w:themeColor="background1" w:themeShade="80"/>
          <w:szCs w:val="28"/>
          <w:lang w:val="es-MX"/>
        </w:rPr>
        <w:t>Supervisión y fiscalización</w:t>
      </w:r>
    </w:p>
    <w:p w14:paraId="76170D7C" w14:textId="77777777" w:rsidR="000E2299" w:rsidRPr="00232EBB" w:rsidRDefault="000E2299" w:rsidP="00280B1F">
      <w:pPr>
        <w:numPr>
          <w:ilvl w:val="0"/>
          <w:numId w:val="45"/>
        </w:numPr>
        <w:spacing w:after="200" w:line="360" w:lineRule="auto"/>
        <w:ind w:left="567" w:hanging="425"/>
        <w:contextualSpacing/>
        <w:jc w:val="both"/>
        <w:rPr>
          <w:noProof/>
          <w:color w:val="808080" w:themeColor="background1" w:themeShade="80"/>
          <w:szCs w:val="28"/>
          <w:lang w:val="es-MX"/>
        </w:rPr>
      </w:pPr>
      <w:r w:rsidRPr="00232EBB">
        <w:rPr>
          <w:noProof/>
          <w:color w:val="808080" w:themeColor="background1" w:themeShade="80"/>
          <w:szCs w:val="28"/>
          <w:lang w:val="es-MX"/>
        </w:rPr>
        <w:t>Servicios del SUIR y otras herramientas tecnológicas del SDSS.</w:t>
      </w:r>
    </w:p>
    <w:p w14:paraId="6D6D4FE5" w14:textId="77777777" w:rsidR="000E2299" w:rsidRPr="00232EBB" w:rsidRDefault="000E2299" w:rsidP="00280B1F">
      <w:pPr>
        <w:numPr>
          <w:ilvl w:val="0"/>
          <w:numId w:val="45"/>
        </w:numPr>
        <w:spacing w:after="200" w:line="360" w:lineRule="auto"/>
        <w:ind w:left="567" w:hanging="425"/>
        <w:contextualSpacing/>
        <w:jc w:val="both"/>
        <w:rPr>
          <w:noProof/>
          <w:color w:val="808080" w:themeColor="background1" w:themeShade="80"/>
          <w:szCs w:val="28"/>
          <w:lang w:val="es-MX"/>
        </w:rPr>
      </w:pPr>
      <w:r w:rsidRPr="00232EBB">
        <w:rPr>
          <w:noProof/>
          <w:color w:val="808080" w:themeColor="background1" w:themeShade="80"/>
          <w:szCs w:val="28"/>
          <w:lang w:val="es-MX"/>
        </w:rPr>
        <w:t>Interacción funcional con las demás entidades del Sistema Dominicano de Seguridad Social.</w:t>
      </w:r>
    </w:p>
    <w:p w14:paraId="159EFC28" w14:textId="77777777" w:rsidR="000E2299" w:rsidRPr="00232EBB" w:rsidRDefault="000E2299" w:rsidP="00280B1F">
      <w:pPr>
        <w:spacing w:after="200" w:line="360" w:lineRule="auto"/>
        <w:ind w:left="1080"/>
        <w:contextualSpacing/>
        <w:jc w:val="both"/>
        <w:rPr>
          <w:noProof/>
          <w:color w:val="808080" w:themeColor="background1" w:themeShade="80"/>
          <w:szCs w:val="28"/>
          <w:lang w:val="es-MX"/>
        </w:rPr>
      </w:pPr>
    </w:p>
    <w:p w14:paraId="0F3C36AB" w14:textId="77777777" w:rsidR="000E2299" w:rsidRPr="00232EBB" w:rsidRDefault="000E2299" w:rsidP="00280B1F">
      <w:pPr>
        <w:keepNext/>
        <w:keepLines/>
        <w:spacing w:before="160" w:after="80" w:line="360" w:lineRule="auto"/>
        <w:jc w:val="both"/>
        <w:outlineLvl w:val="1"/>
        <w:rPr>
          <w:b/>
          <w:bCs/>
          <w:noProof/>
          <w:color w:val="808080" w:themeColor="background1" w:themeShade="80"/>
          <w:szCs w:val="28"/>
          <w:lang w:val="es-MX"/>
        </w:rPr>
      </w:pPr>
      <w:bookmarkStart w:id="161" w:name="_Toc216263905"/>
      <w:bookmarkStart w:id="162" w:name="_Toc216952234"/>
      <w:r w:rsidRPr="00232EBB">
        <w:rPr>
          <w:b/>
          <w:bCs/>
          <w:noProof/>
          <w:color w:val="808080" w:themeColor="background1" w:themeShade="80"/>
          <w:szCs w:val="28"/>
          <w:lang w:val="es-MX"/>
        </w:rPr>
        <w:t>Plan de Acción Encuesta de Comunicación y Liderazgo</w:t>
      </w:r>
      <w:bookmarkEnd w:id="161"/>
      <w:bookmarkEnd w:id="162"/>
    </w:p>
    <w:p w14:paraId="1409F113" w14:textId="77777777" w:rsidR="000E2299" w:rsidRPr="00232EBB" w:rsidRDefault="000E2299" w:rsidP="00280B1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Durante los meses de junio a septiembre, fueron entregados los resultados de la Encuesta de Comunicación y Liderazgo aplicada en el 2024.</w:t>
      </w:r>
    </w:p>
    <w:p w14:paraId="5C722D28" w14:textId="77777777" w:rsidR="000E2299" w:rsidRPr="00232EBB" w:rsidRDefault="000E2299" w:rsidP="00280B1F">
      <w:pPr>
        <w:spacing w:after="0" w:line="360" w:lineRule="auto"/>
        <w:jc w:val="both"/>
        <w:rPr>
          <w:noProof/>
          <w:color w:val="808080" w:themeColor="background1" w:themeShade="80"/>
          <w:szCs w:val="28"/>
          <w:lang w:val="es-MX"/>
        </w:rPr>
      </w:pPr>
      <w:r w:rsidRPr="00232EBB">
        <w:rPr>
          <w:noProof/>
          <w:color w:val="808080" w:themeColor="background1" w:themeShade="80"/>
          <w:szCs w:val="28"/>
          <w:lang w:val="es-MX"/>
        </w:rPr>
        <w:t>Para facilitar esta entrega, se coordinaron y llevaron a cabo reuniones con directores y encargados de los distintos departamentos y áreas. El objetivo de estas reuniones fue comunicarles los resultados obtenidos en la encuesta. Adicionalmente, en aquellos casos donde las competencias evaluadas puntuaron por debajo del 85%, se presentó un plan de acción específico para el fortalecimiento de dichas competencias.</w:t>
      </w:r>
    </w:p>
    <w:p w14:paraId="35234A2C" w14:textId="77777777" w:rsidR="000E2299" w:rsidRPr="00232EBB" w:rsidRDefault="000E2299" w:rsidP="00280B1F">
      <w:pPr>
        <w:keepNext/>
        <w:keepLines/>
        <w:spacing w:before="360" w:after="80" w:line="360" w:lineRule="auto"/>
        <w:jc w:val="both"/>
        <w:outlineLvl w:val="0"/>
        <w:rPr>
          <w:b/>
          <w:bCs/>
          <w:noProof/>
          <w:color w:val="808080" w:themeColor="background1" w:themeShade="80"/>
          <w:szCs w:val="28"/>
          <w:lang w:val="es-MX"/>
        </w:rPr>
      </w:pPr>
      <w:bookmarkStart w:id="163" w:name="_Toc216263906"/>
      <w:bookmarkStart w:id="164" w:name="_Toc216952235"/>
      <w:r w:rsidRPr="00232EBB">
        <w:rPr>
          <w:b/>
          <w:bCs/>
          <w:noProof/>
          <w:color w:val="808080" w:themeColor="background1" w:themeShade="80"/>
          <w:szCs w:val="28"/>
          <w:lang w:val="es-MX"/>
        </w:rPr>
        <w:t>Capacitación y Adiestramiento TSS</w:t>
      </w:r>
      <w:bookmarkEnd w:id="163"/>
      <w:bookmarkEnd w:id="164"/>
    </w:p>
    <w:p w14:paraId="25E13807" w14:textId="77777777" w:rsidR="000E2299" w:rsidRPr="00232EBB" w:rsidRDefault="000E2299" w:rsidP="00280B1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 xml:space="preserve">La capacitación y el adiestramiento en la Tesorería de la Seguridad Social (TSS) se definen como un conjunto de actividades planeadas y sistemáticas, diseñadas a partir de las necesidades institucionales. Su propósito fundamental es dotar a los colaboradores de los conocimientos, habilidades y aptitudes esenciales para que desempeñen sus funciones con eficiencia y excelencia. </w:t>
      </w:r>
    </w:p>
    <w:p w14:paraId="4C2F274E" w14:textId="77777777" w:rsidR="000E2299" w:rsidRPr="00232EBB" w:rsidRDefault="000E2299" w:rsidP="00280B1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 xml:space="preserve">Como reflejo de su cultura de compromiso con la excelencia y la transparencia, la TSS enfoca estos programas en la mejora continua de su personal. Esto implica el desarrollo constante de nuevas habilidades y la actualización de conocimientos, preparando a los </w:t>
      </w:r>
      <w:r w:rsidRPr="00232EBB">
        <w:rPr>
          <w:noProof/>
          <w:color w:val="808080" w:themeColor="background1" w:themeShade="80"/>
          <w:szCs w:val="28"/>
          <w:lang w:val="es-MX"/>
        </w:rPr>
        <w:lastRenderedPageBreak/>
        <w:t>colaboradores para responder de forma asertiva a los retos de la globalización y los cambios tecnológicos.</w:t>
      </w:r>
    </w:p>
    <w:p w14:paraId="4803AF1B" w14:textId="77777777" w:rsidR="000E2299" w:rsidRPr="00232EBB" w:rsidRDefault="000E2299" w:rsidP="00280B1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La Dirección de Recursos Humanos, en línea con el eje estratégico de crecimiento y desarrollo institucional, lidera el Programa de Capacitación y Adiestramiento. Este programa inicia anualmente con la Detección de Necesidades de Competencia (DNC), un proceso que se ejecuta en el último trimestre de cada año. Durante el DNC, los supervisores identifican y definen las competencias, conocimientos y habilidades que sus equipos necesitan adquirir o perfeccionar para el óptimo cumplimiento de sus responsabilidades.</w:t>
      </w:r>
    </w:p>
    <w:p w14:paraId="50617B7F" w14:textId="2E012510" w:rsidR="000E2299" w:rsidRPr="00232EBB" w:rsidRDefault="000E2299" w:rsidP="00280B1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Para el año 2025, la TSS ha establecido un indicador de desempeño retador y realista para el Programa de Capacitación y Adiestramiento: alcanzar una meta del 89% de competencias dotadas. Esto permitirá evaluar y dar seguimiento al impacto de las acciones formativas implementadas.</w:t>
      </w:r>
    </w:p>
    <w:p w14:paraId="46CB8510" w14:textId="3753325C" w:rsidR="000E2299" w:rsidRPr="00232EBB" w:rsidRDefault="000E2299" w:rsidP="00CB5570">
      <w:pPr>
        <w:spacing w:line="360" w:lineRule="auto"/>
        <w:jc w:val="both"/>
        <w:rPr>
          <w:noProof/>
          <w:color w:val="808080" w:themeColor="background1" w:themeShade="80"/>
          <w:szCs w:val="28"/>
          <w:lang w:val="es-MX"/>
        </w:rPr>
      </w:pPr>
      <w:bookmarkStart w:id="165" w:name="_Hlk169787041"/>
      <w:r w:rsidRPr="00232EBB">
        <w:rPr>
          <w:noProof/>
          <w:color w:val="808080" w:themeColor="background1" w:themeShade="80"/>
          <w:szCs w:val="28"/>
          <w:lang w:val="es-MX"/>
        </w:rPr>
        <w:t xml:space="preserve">En cumplimiento </w:t>
      </w:r>
      <w:bookmarkEnd w:id="165"/>
      <w:r w:rsidRPr="00232EBB">
        <w:rPr>
          <w:noProof/>
          <w:color w:val="808080" w:themeColor="background1" w:themeShade="80"/>
          <w:szCs w:val="28"/>
          <w:lang w:val="es-MX"/>
        </w:rPr>
        <w:t>de lo anterior expuesto, de acuerdo con el DNC 2025 realizado por los supervisores y competencias detectadas en el transcurso del año en el Programa de Capacitación y Adiestramiento para el 2025 se colocaron 376 competencias, de las cuales fueron dotadas un total de 335, lo que representa un cumplimiento de un 89.10% de la meta establecida.</w:t>
      </w:r>
    </w:p>
    <w:p w14:paraId="1F7C2FE9" w14:textId="2BFA07BA" w:rsidR="00280B1F" w:rsidRPr="00232EBB" w:rsidRDefault="00F65B16" w:rsidP="00F65B16">
      <w:pPr>
        <w:spacing w:line="360" w:lineRule="auto"/>
        <w:jc w:val="both"/>
        <w:rPr>
          <w:b/>
          <w:bCs/>
          <w:noProof/>
          <w:color w:val="808080" w:themeColor="background1" w:themeShade="80"/>
          <w:szCs w:val="28"/>
          <w:lang w:val="es-MX"/>
        </w:rPr>
      </w:pPr>
      <w:bookmarkStart w:id="166" w:name="_Toc216263907"/>
      <w:r w:rsidRPr="00232EBB">
        <w:rPr>
          <w:b/>
          <w:bCs/>
          <w:noProof/>
          <w:color w:val="808080" w:themeColor="background1" w:themeShade="80"/>
          <w:szCs w:val="28"/>
          <w:lang w:val="es-MX"/>
        </w:rPr>
        <w:drawing>
          <wp:anchor distT="0" distB="0" distL="114300" distR="114300" simplePos="0" relativeHeight="251703332" behindDoc="0" locked="0" layoutInCell="1" allowOverlap="1" wp14:anchorId="750489D8" wp14:editId="3AB3074B">
            <wp:simplePos x="0" y="0"/>
            <wp:positionH relativeFrom="margin">
              <wp:posOffset>422275</wp:posOffset>
            </wp:positionH>
            <wp:positionV relativeFrom="margin">
              <wp:posOffset>6055360</wp:posOffset>
            </wp:positionV>
            <wp:extent cx="4230370" cy="2139315"/>
            <wp:effectExtent l="0" t="0" r="17780" b="13335"/>
            <wp:wrapSquare wrapText="bothSides"/>
            <wp:docPr id="779213153"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14:sizeRelH relativeFrom="margin">
              <wp14:pctWidth>0</wp14:pctWidth>
            </wp14:sizeRelH>
            <wp14:sizeRelV relativeFrom="margin">
              <wp14:pctHeight>0</wp14:pctHeight>
            </wp14:sizeRelV>
          </wp:anchor>
        </w:drawing>
      </w:r>
    </w:p>
    <w:p w14:paraId="06395619" w14:textId="1776EED0" w:rsidR="00280B1F" w:rsidRPr="00232EBB" w:rsidRDefault="00280B1F" w:rsidP="00280B1F">
      <w:pPr>
        <w:keepNext/>
        <w:keepLines/>
        <w:spacing w:before="160" w:after="80" w:line="360" w:lineRule="auto"/>
        <w:jc w:val="both"/>
        <w:outlineLvl w:val="1"/>
        <w:rPr>
          <w:b/>
          <w:bCs/>
          <w:noProof/>
          <w:color w:val="808080" w:themeColor="background1" w:themeShade="80"/>
          <w:szCs w:val="28"/>
          <w:lang w:val="es-MX"/>
        </w:rPr>
      </w:pPr>
    </w:p>
    <w:p w14:paraId="081B01A6" w14:textId="7905EBB0" w:rsidR="003267A9" w:rsidRPr="00232EBB" w:rsidRDefault="003267A9" w:rsidP="00280B1F">
      <w:pPr>
        <w:keepNext/>
        <w:keepLines/>
        <w:spacing w:before="160" w:after="80" w:line="360" w:lineRule="auto"/>
        <w:jc w:val="both"/>
        <w:outlineLvl w:val="1"/>
        <w:rPr>
          <w:b/>
          <w:bCs/>
          <w:noProof/>
          <w:color w:val="808080" w:themeColor="background1" w:themeShade="80"/>
          <w:szCs w:val="28"/>
          <w:lang w:val="es-MX"/>
        </w:rPr>
      </w:pPr>
    </w:p>
    <w:p w14:paraId="01E788ED" w14:textId="77777777" w:rsidR="009338CC" w:rsidRPr="00232EBB" w:rsidRDefault="009338CC" w:rsidP="00280B1F">
      <w:pPr>
        <w:spacing w:line="360" w:lineRule="auto"/>
        <w:jc w:val="both"/>
        <w:rPr>
          <w:b/>
          <w:bCs/>
          <w:noProof/>
          <w:color w:val="808080" w:themeColor="background1" w:themeShade="80"/>
          <w:sz w:val="18"/>
          <w:szCs w:val="18"/>
          <w:lang w:val="es-MX"/>
        </w:rPr>
      </w:pPr>
    </w:p>
    <w:p w14:paraId="1C1E5DDB" w14:textId="77777777" w:rsidR="00F65B16" w:rsidRDefault="00F65B16" w:rsidP="009338CC">
      <w:pPr>
        <w:spacing w:line="360" w:lineRule="auto"/>
        <w:jc w:val="both"/>
        <w:rPr>
          <w:b/>
          <w:bCs/>
          <w:noProof/>
          <w:color w:val="808080" w:themeColor="background1" w:themeShade="80"/>
          <w:sz w:val="18"/>
          <w:szCs w:val="18"/>
          <w:lang w:val="es-MX"/>
        </w:rPr>
      </w:pPr>
    </w:p>
    <w:p w14:paraId="79FBB724" w14:textId="1EAADE49" w:rsidR="00FA3425" w:rsidRPr="00232EBB" w:rsidRDefault="003267A9" w:rsidP="009338CC">
      <w:pPr>
        <w:spacing w:line="360" w:lineRule="auto"/>
        <w:jc w:val="both"/>
        <w:rPr>
          <w:noProof/>
          <w:color w:val="808080" w:themeColor="background1" w:themeShade="80"/>
          <w:sz w:val="18"/>
          <w:szCs w:val="18"/>
          <w:lang w:val="es-MX"/>
        </w:rPr>
      </w:pPr>
      <w:r w:rsidRPr="00232EBB">
        <w:rPr>
          <w:b/>
          <w:bCs/>
          <w:noProof/>
          <w:color w:val="808080" w:themeColor="background1" w:themeShade="80"/>
          <w:sz w:val="18"/>
          <w:szCs w:val="18"/>
          <w:lang w:val="es-MX"/>
        </w:rPr>
        <w:t xml:space="preserve">Gráfico </w:t>
      </w:r>
      <w:r w:rsidR="000743EE" w:rsidRPr="00232EBB">
        <w:rPr>
          <w:b/>
          <w:bCs/>
          <w:noProof/>
          <w:color w:val="808080" w:themeColor="background1" w:themeShade="80"/>
          <w:sz w:val="18"/>
          <w:szCs w:val="18"/>
          <w:lang w:val="es-MX"/>
        </w:rPr>
        <w:t>23</w:t>
      </w:r>
      <w:r w:rsidRPr="00232EBB">
        <w:rPr>
          <w:noProof/>
          <w:color w:val="808080" w:themeColor="background1" w:themeShade="80"/>
          <w:sz w:val="18"/>
          <w:szCs w:val="18"/>
          <w:lang w:val="es-MX"/>
        </w:rPr>
        <w:t>: Competencias</w:t>
      </w:r>
      <w:r w:rsidR="009338CC" w:rsidRPr="00232EBB">
        <w:rPr>
          <w:noProof/>
          <w:color w:val="808080" w:themeColor="background1" w:themeShade="80"/>
          <w:sz w:val="18"/>
          <w:szCs w:val="18"/>
          <w:lang w:val="es-MX"/>
        </w:rPr>
        <w:t xml:space="preserve"> detectadas en los colaboradores</w:t>
      </w:r>
      <w:r w:rsidRPr="00232EBB">
        <w:rPr>
          <w:noProof/>
          <w:color w:val="808080" w:themeColor="background1" w:themeShade="80"/>
          <w:sz w:val="18"/>
          <w:szCs w:val="18"/>
          <w:lang w:val="es-MX"/>
        </w:rPr>
        <w:t>.</w:t>
      </w:r>
    </w:p>
    <w:p w14:paraId="03F93EC8" w14:textId="04B9550F" w:rsidR="009338CC" w:rsidRPr="00232EBB" w:rsidRDefault="00F65B16" w:rsidP="009338CC">
      <w:pPr>
        <w:spacing w:line="360" w:lineRule="auto"/>
        <w:jc w:val="both"/>
        <w:rPr>
          <w:noProof/>
          <w:color w:val="808080" w:themeColor="background1" w:themeShade="80"/>
          <w:sz w:val="18"/>
          <w:szCs w:val="18"/>
          <w:lang w:val="es-MX"/>
        </w:rPr>
      </w:pPr>
      <w:r w:rsidRPr="00232EBB">
        <w:rPr>
          <w:noProof/>
          <w:color w:val="808080" w:themeColor="background1" w:themeShade="80"/>
          <w:sz w:val="22"/>
          <w:lang w:val="es-MX"/>
        </w:rPr>
        <w:lastRenderedPageBreak/>
        <w:drawing>
          <wp:anchor distT="0" distB="0" distL="114300" distR="114300" simplePos="0" relativeHeight="251705380" behindDoc="1" locked="0" layoutInCell="1" allowOverlap="1" wp14:anchorId="317E2071" wp14:editId="7A7989BD">
            <wp:simplePos x="0" y="0"/>
            <wp:positionH relativeFrom="margin">
              <wp:posOffset>16510</wp:posOffset>
            </wp:positionH>
            <wp:positionV relativeFrom="margin">
              <wp:posOffset>146685</wp:posOffset>
            </wp:positionV>
            <wp:extent cx="4364355" cy="2438400"/>
            <wp:effectExtent l="0" t="0" r="17145" b="0"/>
            <wp:wrapSquare wrapText="bothSides"/>
            <wp:docPr id="1964318852"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14:sizeRelH relativeFrom="margin">
              <wp14:pctWidth>0</wp14:pctWidth>
            </wp14:sizeRelH>
            <wp14:sizeRelV relativeFrom="margin">
              <wp14:pctHeight>0</wp14:pctHeight>
            </wp14:sizeRelV>
          </wp:anchor>
        </w:drawing>
      </w:r>
    </w:p>
    <w:p w14:paraId="5322C913" w14:textId="6EEC9266" w:rsidR="00FA3425" w:rsidRPr="00232EBB" w:rsidRDefault="00FA3425" w:rsidP="00280B1F">
      <w:pPr>
        <w:keepNext/>
        <w:keepLines/>
        <w:spacing w:before="160" w:after="80" w:line="360" w:lineRule="auto"/>
        <w:jc w:val="both"/>
        <w:outlineLvl w:val="1"/>
        <w:rPr>
          <w:b/>
          <w:bCs/>
          <w:noProof/>
          <w:color w:val="808080" w:themeColor="background1" w:themeShade="80"/>
          <w:szCs w:val="28"/>
          <w:lang w:val="es-MX"/>
        </w:rPr>
      </w:pPr>
    </w:p>
    <w:p w14:paraId="325C4A69" w14:textId="5A8328CA" w:rsidR="00FA3425" w:rsidRPr="00232EBB" w:rsidRDefault="00FA3425" w:rsidP="00280B1F">
      <w:pPr>
        <w:keepNext/>
        <w:keepLines/>
        <w:spacing w:before="160" w:after="80" w:line="360" w:lineRule="auto"/>
        <w:jc w:val="both"/>
        <w:outlineLvl w:val="1"/>
        <w:rPr>
          <w:b/>
          <w:bCs/>
          <w:noProof/>
          <w:color w:val="808080" w:themeColor="background1" w:themeShade="80"/>
          <w:szCs w:val="28"/>
          <w:lang w:val="es-MX"/>
        </w:rPr>
      </w:pPr>
    </w:p>
    <w:p w14:paraId="11E83CF8" w14:textId="19C0044E" w:rsidR="00FA3425" w:rsidRPr="00232EBB" w:rsidRDefault="00FA3425" w:rsidP="00280B1F">
      <w:pPr>
        <w:keepNext/>
        <w:keepLines/>
        <w:spacing w:before="160" w:after="80" w:line="360" w:lineRule="auto"/>
        <w:jc w:val="both"/>
        <w:outlineLvl w:val="1"/>
        <w:rPr>
          <w:b/>
          <w:bCs/>
          <w:noProof/>
          <w:color w:val="808080" w:themeColor="background1" w:themeShade="80"/>
          <w:szCs w:val="28"/>
          <w:lang w:val="es-MX"/>
        </w:rPr>
      </w:pPr>
    </w:p>
    <w:p w14:paraId="6B0B8460" w14:textId="481254DF" w:rsidR="00FA3425" w:rsidRPr="00232EBB" w:rsidRDefault="00FA3425" w:rsidP="00FA3425">
      <w:pPr>
        <w:spacing w:line="360" w:lineRule="auto"/>
        <w:jc w:val="both"/>
        <w:rPr>
          <w:b/>
          <w:bCs/>
          <w:noProof/>
          <w:color w:val="808080" w:themeColor="background1" w:themeShade="80"/>
          <w:sz w:val="18"/>
          <w:szCs w:val="18"/>
          <w:lang w:val="es-MX"/>
        </w:rPr>
      </w:pPr>
    </w:p>
    <w:p w14:paraId="092E5A51" w14:textId="37D719A8" w:rsidR="00FA3425" w:rsidRPr="00232EBB" w:rsidRDefault="00FA3425" w:rsidP="00FA3425">
      <w:pPr>
        <w:spacing w:line="360" w:lineRule="auto"/>
        <w:jc w:val="both"/>
        <w:rPr>
          <w:b/>
          <w:bCs/>
          <w:noProof/>
          <w:color w:val="808080" w:themeColor="background1" w:themeShade="80"/>
          <w:sz w:val="18"/>
          <w:szCs w:val="18"/>
          <w:lang w:val="es-MX"/>
        </w:rPr>
      </w:pPr>
    </w:p>
    <w:p w14:paraId="5D1912E6" w14:textId="64DACEA1" w:rsidR="00461D0B" w:rsidRPr="00232EBB" w:rsidRDefault="00461D0B" w:rsidP="00FA3425">
      <w:pPr>
        <w:spacing w:line="360" w:lineRule="auto"/>
        <w:jc w:val="both"/>
        <w:rPr>
          <w:b/>
          <w:bCs/>
          <w:noProof/>
          <w:color w:val="808080" w:themeColor="background1" w:themeShade="80"/>
          <w:sz w:val="18"/>
          <w:szCs w:val="18"/>
          <w:lang w:val="es-MX"/>
        </w:rPr>
      </w:pPr>
    </w:p>
    <w:p w14:paraId="06094BDC" w14:textId="77777777" w:rsidR="009338CC" w:rsidRPr="00232EBB" w:rsidRDefault="009338CC" w:rsidP="00FA3425">
      <w:pPr>
        <w:spacing w:line="360" w:lineRule="auto"/>
        <w:jc w:val="both"/>
        <w:rPr>
          <w:b/>
          <w:bCs/>
          <w:noProof/>
          <w:color w:val="808080" w:themeColor="background1" w:themeShade="80"/>
          <w:sz w:val="18"/>
          <w:szCs w:val="18"/>
          <w:lang w:val="es-MX"/>
        </w:rPr>
      </w:pPr>
    </w:p>
    <w:p w14:paraId="4F6FCBDB" w14:textId="3BC1C0E7" w:rsidR="009338CC" w:rsidRPr="00232EBB" w:rsidRDefault="009338CC" w:rsidP="00FA3425">
      <w:pPr>
        <w:spacing w:line="360" w:lineRule="auto"/>
        <w:jc w:val="both"/>
        <w:rPr>
          <w:b/>
          <w:bCs/>
          <w:noProof/>
          <w:color w:val="808080" w:themeColor="background1" w:themeShade="80"/>
          <w:sz w:val="18"/>
          <w:szCs w:val="18"/>
          <w:lang w:val="es-MX"/>
        </w:rPr>
      </w:pPr>
    </w:p>
    <w:p w14:paraId="1C8C4B4B" w14:textId="2EA2025A" w:rsidR="00FA3425" w:rsidRPr="00232EBB" w:rsidRDefault="00FA3425" w:rsidP="00FA3425">
      <w:pPr>
        <w:spacing w:line="360" w:lineRule="auto"/>
        <w:jc w:val="both"/>
        <w:rPr>
          <w:b/>
          <w:bCs/>
          <w:noProof/>
          <w:color w:val="808080" w:themeColor="background1" w:themeShade="80"/>
          <w:sz w:val="18"/>
          <w:szCs w:val="18"/>
          <w:lang w:val="es-MX"/>
        </w:rPr>
      </w:pPr>
      <w:r w:rsidRPr="00232EBB">
        <w:rPr>
          <w:b/>
          <w:bCs/>
          <w:noProof/>
          <w:color w:val="808080" w:themeColor="background1" w:themeShade="80"/>
          <w:sz w:val="18"/>
          <w:szCs w:val="18"/>
          <w:lang w:val="es-MX"/>
        </w:rPr>
        <w:t xml:space="preserve">Gráfico </w:t>
      </w:r>
      <w:r w:rsidR="000743EE" w:rsidRPr="00232EBB">
        <w:rPr>
          <w:b/>
          <w:bCs/>
          <w:noProof/>
          <w:color w:val="808080" w:themeColor="background1" w:themeShade="80"/>
          <w:sz w:val="18"/>
          <w:szCs w:val="18"/>
          <w:lang w:val="es-MX"/>
        </w:rPr>
        <w:t>24</w:t>
      </w:r>
      <w:r w:rsidRPr="00232EBB">
        <w:rPr>
          <w:noProof/>
          <w:color w:val="808080" w:themeColor="background1" w:themeShade="80"/>
          <w:sz w:val="18"/>
          <w:szCs w:val="18"/>
          <w:lang w:val="es-MX"/>
        </w:rPr>
        <w:t>: Competencias</w:t>
      </w:r>
      <w:r w:rsidR="009338CC" w:rsidRPr="00232EBB">
        <w:rPr>
          <w:noProof/>
          <w:color w:val="808080" w:themeColor="background1" w:themeShade="80"/>
          <w:sz w:val="18"/>
          <w:szCs w:val="18"/>
          <w:lang w:val="es-MX"/>
        </w:rPr>
        <w:t xml:space="preserve"> Programadas vs dotados durante el 2025 </w:t>
      </w:r>
      <w:r w:rsidRPr="00232EBB">
        <w:rPr>
          <w:noProof/>
          <w:color w:val="808080" w:themeColor="background1" w:themeShade="80"/>
          <w:sz w:val="18"/>
          <w:szCs w:val="18"/>
          <w:lang w:val="es-MX"/>
        </w:rPr>
        <w:t>.</w:t>
      </w:r>
    </w:p>
    <w:p w14:paraId="08BC8D0F" w14:textId="0C20D1B1" w:rsidR="000E2299" w:rsidRPr="00232EBB" w:rsidRDefault="000E2299" w:rsidP="00977ED7">
      <w:pPr>
        <w:keepNext/>
        <w:keepLines/>
        <w:spacing w:after="80" w:line="360" w:lineRule="auto"/>
        <w:jc w:val="both"/>
        <w:outlineLvl w:val="1"/>
        <w:rPr>
          <w:b/>
          <w:bCs/>
          <w:noProof/>
          <w:color w:val="808080" w:themeColor="background1" w:themeShade="80"/>
          <w:szCs w:val="28"/>
          <w:lang w:val="es-MX"/>
        </w:rPr>
      </w:pPr>
      <w:bookmarkStart w:id="167" w:name="_Toc216952236"/>
      <w:r w:rsidRPr="00232EBB">
        <w:rPr>
          <w:b/>
          <w:bCs/>
          <w:noProof/>
          <w:color w:val="808080" w:themeColor="background1" w:themeShade="80"/>
          <w:szCs w:val="28"/>
          <w:lang w:val="es-MX"/>
        </w:rPr>
        <w:t>Capacitaciones Impartidas por Grupo Ocupacional</w:t>
      </w:r>
      <w:bookmarkEnd w:id="166"/>
      <w:bookmarkEnd w:id="167"/>
    </w:p>
    <w:p w14:paraId="4ECCCF88" w14:textId="3F573085" w:rsidR="003267A9" w:rsidRPr="00232EBB" w:rsidRDefault="000E2299" w:rsidP="00977ED7">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Para garantizar el logro de los objetivos institucionales y maximizar la productividad, es fundamental que el proceso de Detección de Necesidades de Competencias (DNC) se realice de manera inclusiva y equitativa, sin distinción de género o grupo ocupacional. Este enfoque asegura que las oportunidades de desarrollo profesional estén disponibles para todos los colaboradores, basándose únicamente en los requerimientos del puesto y las estrategias organizacionales.</w:t>
      </w:r>
    </w:p>
    <w:p w14:paraId="6B12903E" w14:textId="34F0790A" w:rsidR="000E2299" w:rsidRPr="00232EBB" w:rsidRDefault="000E2299" w:rsidP="00977ED7">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En consonancia con este principio, durante el año 2025 se fortalecieron las competencias del personal mediante la ejecución de las acciones formativas programadas. Como resultado, se desarrollaron 70 competencias en el grupo ocupacional II, 50 en el grupo III, 147 en el grupo IV y 68 en el grupo V.</w:t>
      </w:r>
    </w:p>
    <w:p w14:paraId="42347D21" w14:textId="77777777" w:rsidR="000E2299" w:rsidRPr="00232EBB" w:rsidRDefault="000E2299" w:rsidP="00977ED7">
      <w:pPr>
        <w:keepNext/>
        <w:keepLines/>
        <w:spacing w:after="80" w:line="360" w:lineRule="auto"/>
        <w:jc w:val="both"/>
        <w:outlineLvl w:val="1"/>
        <w:rPr>
          <w:b/>
          <w:bCs/>
          <w:noProof/>
          <w:color w:val="808080" w:themeColor="background1" w:themeShade="80"/>
          <w:szCs w:val="28"/>
          <w:lang w:val="es-MX"/>
        </w:rPr>
      </w:pPr>
      <w:bookmarkStart w:id="168" w:name="_Toc216263908"/>
      <w:bookmarkStart w:id="169" w:name="_Toc216952237"/>
      <w:r w:rsidRPr="00232EBB">
        <w:rPr>
          <w:b/>
          <w:bCs/>
          <w:noProof/>
          <w:color w:val="808080" w:themeColor="background1" w:themeShade="80"/>
          <w:szCs w:val="28"/>
          <w:lang w:val="es-MX"/>
        </w:rPr>
        <w:lastRenderedPageBreak/>
        <w:t>Competencias Blandas y Duras</w:t>
      </w:r>
      <w:bookmarkEnd w:id="168"/>
      <w:bookmarkEnd w:id="169"/>
    </w:p>
    <w:p w14:paraId="72B13653" w14:textId="747D1EE8" w:rsidR="000E2299" w:rsidRPr="00232EBB" w:rsidRDefault="00DD7973" w:rsidP="00977ED7">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drawing>
          <wp:anchor distT="0" distB="0" distL="114300" distR="114300" simplePos="0" relativeHeight="251707428" behindDoc="0" locked="0" layoutInCell="1" allowOverlap="1" wp14:anchorId="20034EE3" wp14:editId="3576F91B">
            <wp:simplePos x="0" y="0"/>
            <wp:positionH relativeFrom="margin">
              <wp:posOffset>161925</wp:posOffset>
            </wp:positionH>
            <wp:positionV relativeFrom="paragraph">
              <wp:posOffset>2352675</wp:posOffset>
            </wp:positionV>
            <wp:extent cx="4437380" cy="1666875"/>
            <wp:effectExtent l="0" t="0" r="1270" b="9525"/>
            <wp:wrapSquare wrapText="bothSides"/>
            <wp:docPr id="96690015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14:sizeRelH relativeFrom="margin">
              <wp14:pctWidth>0</wp14:pctWidth>
            </wp14:sizeRelH>
            <wp14:sizeRelV relativeFrom="margin">
              <wp14:pctHeight>0</wp14:pctHeight>
            </wp14:sizeRelV>
          </wp:anchor>
        </w:drawing>
      </w:r>
      <w:r w:rsidR="000E2299" w:rsidRPr="00232EBB">
        <w:rPr>
          <w:noProof/>
          <w:color w:val="808080" w:themeColor="background1" w:themeShade="80"/>
          <w:szCs w:val="28"/>
          <w:lang w:val="es-MX"/>
        </w:rPr>
        <w:t>El compromiso con el crecimiento de nuestros colaboradores se refleja en el impulso al desarrollo de habilidades esenciales. Se ha puesto especial énfasis en las habilidades interpersonales, que facilitan una interacción efectiva, así como en las competencias profesionales y técnicas que aseguran un desempeño óptimo en sus funciones. Como resultado, se han dotado en este año un total de 146 competencias blandas y 230 competencias duras o técnicas, contribuyendo significativamente a la mejora del capital humano de la TSS.</w:t>
      </w:r>
    </w:p>
    <w:p w14:paraId="4F14AF4C" w14:textId="1346A7E4" w:rsidR="00DD7973" w:rsidRPr="00232EBB" w:rsidRDefault="00DD7973" w:rsidP="00280B1F">
      <w:pPr>
        <w:spacing w:line="360" w:lineRule="auto"/>
        <w:jc w:val="both"/>
        <w:rPr>
          <w:noProof/>
          <w:color w:val="808080" w:themeColor="background1" w:themeShade="80"/>
          <w:sz w:val="18"/>
          <w:szCs w:val="18"/>
          <w:lang w:val="es-MX"/>
        </w:rPr>
      </w:pPr>
      <w:r w:rsidRPr="00232EBB">
        <w:rPr>
          <w:b/>
          <w:bCs/>
          <w:noProof/>
          <w:color w:val="808080" w:themeColor="background1" w:themeShade="80"/>
          <w:sz w:val="18"/>
          <w:szCs w:val="18"/>
          <w:lang w:val="es-MX"/>
        </w:rPr>
        <w:t>Gráfico 2</w:t>
      </w:r>
      <w:r w:rsidR="000743EE" w:rsidRPr="00232EBB">
        <w:rPr>
          <w:b/>
          <w:bCs/>
          <w:noProof/>
          <w:color w:val="808080" w:themeColor="background1" w:themeShade="80"/>
          <w:sz w:val="18"/>
          <w:szCs w:val="18"/>
          <w:lang w:val="es-MX"/>
        </w:rPr>
        <w:t>5</w:t>
      </w:r>
      <w:r w:rsidRPr="00232EBB">
        <w:rPr>
          <w:noProof/>
          <w:color w:val="808080" w:themeColor="background1" w:themeShade="80"/>
          <w:sz w:val="18"/>
          <w:szCs w:val="18"/>
          <w:lang w:val="es-MX"/>
        </w:rPr>
        <w:t>: Competencias Blandas y Duras.</w:t>
      </w:r>
      <w:bookmarkStart w:id="170" w:name="_Toc216263913"/>
    </w:p>
    <w:p w14:paraId="1E934411" w14:textId="152BDEF2" w:rsidR="00280B1F" w:rsidRPr="00232EBB" w:rsidRDefault="000E2299" w:rsidP="00280B1F">
      <w:pPr>
        <w:spacing w:line="360" w:lineRule="auto"/>
        <w:jc w:val="both"/>
        <w:rPr>
          <w:noProof/>
          <w:color w:val="808080" w:themeColor="background1" w:themeShade="80"/>
          <w:sz w:val="18"/>
          <w:szCs w:val="18"/>
          <w:lang w:val="es-MX"/>
        </w:rPr>
      </w:pPr>
      <w:r w:rsidRPr="00232EBB">
        <w:rPr>
          <w:b/>
          <w:bCs/>
          <w:noProof/>
          <w:color w:val="808080" w:themeColor="background1" w:themeShade="80"/>
          <w:szCs w:val="28"/>
          <w:lang w:val="es-MX"/>
        </w:rPr>
        <w:t>Jornada de aplicación de controles del Sistema de Antisoborno y Cumplimiento.</w:t>
      </w:r>
      <w:bookmarkEnd w:id="170"/>
    </w:p>
    <w:p w14:paraId="40A2A953" w14:textId="77777777" w:rsidR="00E53773" w:rsidRPr="00232EBB" w:rsidRDefault="000E2299" w:rsidP="00E53773">
      <w:pPr>
        <w:spacing w:line="360" w:lineRule="auto"/>
        <w:jc w:val="both"/>
        <w:rPr>
          <w:noProof/>
          <w:color w:val="808080" w:themeColor="background1" w:themeShade="80"/>
          <w:sz w:val="20"/>
          <w:szCs w:val="20"/>
          <w:lang w:val="es-MX"/>
        </w:rPr>
      </w:pPr>
      <w:r w:rsidRPr="00232EBB">
        <w:rPr>
          <w:noProof/>
          <w:color w:val="808080" w:themeColor="background1" w:themeShade="80"/>
          <w:szCs w:val="28"/>
          <w:lang w:val="es-MX"/>
        </w:rPr>
        <w:t>En el primer semestre la Tesorería de la Seguridad Social (TSS) se convocó a todos los colaboradores a participar en la jornada de socialización y aplicación de controles antisoborno y de cumplimiento. Esta iniciativa se fundamenta en las gestiones institucionales para fines de certificarse en las normas ISO 37001 e ISO 37301, las cuales establecen que la aplicación de controles se realiza en función del nivel de criticidad del puesto. El objetivo principal es gestionar los posibles riesgos en las diferentes áreas, asegurando que los controles implementados sean proporcionales a dichos riesgos.</w:t>
      </w:r>
    </w:p>
    <w:p w14:paraId="0C557E77" w14:textId="77777777" w:rsidR="00E53773" w:rsidRPr="00232EBB" w:rsidRDefault="000E2299" w:rsidP="00E53773">
      <w:pPr>
        <w:spacing w:line="360" w:lineRule="auto"/>
        <w:jc w:val="both"/>
        <w:rPr>
          <w:noProof/>
          <w:color w:val="808080" w:themeColor="background1" w:themeShade="80"/>
          <w:sz w:val="20"/>
          <w:szCs w:val="20"/>
          <w:lang w:val="es-MX"/>
        </w:rPr>
      </w:pPr>
      <w:r w:rsidRPr="00232EBB">
        <w:rPr>
          <w:noProof/>
          <w:color w:val="808080" w:themeColor="background1" w:themeShade="80"/>
          <w:szCs w:val="28"/>
          <w:lang w:val="es-MX"/>
        </w:rPr>
        <w:t xml:space="preserve">La jornada tuvo como objetivo dar continuidad a la implementación de estas normas, asegurando que todos los colaboradores </w:t>
      </w:r>
      <w:r w:rsidRPr="00232EBB">
        <w:rPr>
          <w:noProof/>
          <w:color w:val="808080" w:themeColor="background1" w:themeShade="80"/>
          <w:szCs w:val="28"/>
          <w:lang w:val="es-MX"/>
        </w:rPr>
        <w:lastRenderedPageBreak/>
        <w:t>comprendan y apliquen los controles correspondientes a su nivel de criticidad. Se convocó a 343 colaboradores asistiendo un total de 339, a quienes se les aplicaron los controles de debida diligencia. Este proceso se llevó a cabo con la participación de diferentes departamentos, en coordinación con el Departamento de Evaluación del Desempeño y Capacitación.</w:t>
      </w:r>
    </w:p>
    <w:p w14:paraId="5C0FACE8" w14:textId="40B2223C" w:rsidR="00280B1F" w:rsidRPr="00232EBB" w:rsidRDefault="000E2299" w:rsidP="002236B2">
      <w:pPr>
        <w:spacing w:line="360" w:lineRule="auto"/>
        <w:jc w:val="both"/>
        <w:rPr>
          <w:noProof/>
          <w:color w:val="808080" w:themeColor="background1" w:themeShade="80"/>
          <w:sz w:val="20"/>
          <w:szCs w:val="20"/>
          <w:lang w:val="es-MX"/>
        </w:rPr>
      </w:pPr>
      <w:r w:rsidRPr="00232EBB">
        <w:rPr>
          <w:noProof/>
          <w:color w:val="808080" w:themeColor="background1" w:themeShade="80"/>
          <w:szCs w:val="28"/>
          <w:lang w:val="es-MX"/>
        </w:rPr>
        <w:t>En ese sentido, también se realizaron diferentes jornadas de reforzamiento a las áreas consideradas más críticas, dentro de las cuales se detallan las siguientes:</w:t>
      </w:r>
      <w:bookmarkStart w:id="171" w:name="_Toc216263938"/>
    </w:p>
    <w:p w14:paraId="326FC740" w14:textId="59B05091" w:rsidR="000E2299" w:rsidRPr="00232EBB" w:rsidRDefault="000E2299" w:rsidP="00EF44EF">
      <w:pPr>
        <w:keepNext/>
        <w:keepLines/>
        <w:spacing w:before="160" w:after="80" w:line="360" w:lineRule="auto"/>
        <w:jc w:val="both"/>
        <w:outlineLvl w:val="1"/>
        <w:rPr>
          <w:b/>
          <w:bCs/>
          <w:noProof/>
          <w:color w:val="808080" w:themeColor="background1" w:themeShade="80"/>
          <w:szCs w:val="28"/>
          <w:lang w:val="es-MX"/>
        </w:rPr>
      </w:pPr>
      <w:bookmarkStart w:id="172" w:name="_Toc216952238"/>
      <w:r w:rsidRPr="00232EBB">
        <w:rPr>
          <w:b/>
          <w:bCs/>
          <w:noProof/>
          <w:color w:val="808080" w:themeColor="background1" w:themeShade="80"/>
          <w:szCs w:val="28"/>
          <w:lang w:val="es-MX"/>
        </w:rPr>
        <w:t>Donación solidaria</w:t>
      </w:r>
      <w:bookmarkEnd w:id="171"/>
      <w:bookmarkEnd w:id="172"/>
    </w:p>
    <w:p w14:paraId="053BA756" w14:textId="32C93CE4" w:rsidR="000E2299" w:rsidRPr="00232EBB" w:rsidRDefault="000E2299" w:rsidP="00EF44E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La Tesorería de la Seguridad Social (TSS) realizó una jornada de donaciones a la Casa Hogar de Ancianos Antonio María Claret, Inc., en Puerto Plata, como parte de su compromiso social. Para esta actividad, fue seleccionado este hogar administrado por las Hijas de la Caridad, con el objetivo de fortalecer los lazos con la comunidad y contribuir al bienestar de sus residentes.</w:t>
      </w:r>
    </w:p>
    <w:p w14:paraId="5C8F53D9" w14:textId="0CD840ED" w:rsidR="000E2299" w:rsidRPr="00232EBB" w:rsidRDefault="000E2299" w:rsidP="00EF44E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 xml:space="preserve">El periodo para la recolección y acopio de las donaciones fue desde el 8 de septiembre hasta el 10 de octubre. </w:t>
      </w:r>
    </w:p>
    <w:p w14:paraId="0190A239" w14:textId="77777777" w:rsidR="000E2299" w:rsidRPr="00232EBB" w:rsidRDefault="000E2299" w:rsidP="00EF44E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 xml:space="preserve">Gracias a la solidaridad de los colaboradores de la sede central y oficinas regionales, el 17 de octubre se entregaron más de 1,200 artículos, entre los que se incluyen productos de higiene y salud, alimentación, ropa y perchas, así como artículos de limpieza y desechables. </w:t>
      </w:r>
    </w:p>
    <w:p w14:paraId="24AC17E3" w14:textId="77777777" w:rsidR="000E2299" w:rsidRPr="00232EBB" w:rsidRDefault="000E2299" w:rsidP="00EF44E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 xml:space="preserve">Las donaciones entregadas constituyen una contribución tangible al bienestar de más de 48 adultos mayores, mejorando su calidad de vida y consolidando la imagen de la TSS como una entidad comprometida con el desarrollo social y comunitario. </w:t>
      </w:r>
    </w:p>
    <w:p w14:paraId="6BC5A0B6" w14:textId="56A27E04" w:rsidR="000E2299" w:rsidRPr="00232EBB" w:rsidRDefault="000E2299" w:rsidP="00EF44EF">
      <w:pPr>
        <w:keepNext/>
        <w:keepLines/>
        <w:spacing w:before="160" w:after="80" w:line="360" w:lineRule="auto"/>
        <w:jc w:val="both"/>
        <w:outlineLvl w:val="1"/>
        <w:rPr>
          <w:b/>
          <w:bCs/>
          <w:noProof/>
          <w:color w:val="808080" w:themeColor="background1" w:themeShade="80"/>
          <w:szCs w:val="28"/>
          <w:lang w:val="es-MX"/>
        </w:rPr>
      </w:pPr>
      <w:bookmarkStart w:id="173" w:name="_Toc216263939"/>
      <w:bookmarkStart w:id="174" w:name="_Toc216952239"/>
      <w:r w:rsidRPr="00232EBB">
        <w:rPr>
          <w:b/>
          <w:bCs/>
          <w:noProof/>
          <w:color w:val="808080" w:themeColor="background1" w:themeShade="80"/>
          <w:szCs w:val="28"/>
          <w:lang w:val="es-MX"/>
        </w:rPr>
        <w:lastRenderedPageBreak/>
        <w:t>Jornada de Donación de Sangre</w:t>
      </w:r>
      <w:bookmarkEnd w:id="173"/>
      <w:bookmarkEnd w:id="174"/>
    </w:p>
    <w:p w14:paraId="58A866B1" w14:textId="77777777" w:rsidR="000E2299" w:rsidRPr="00232EBB" w:rsidRDefault="000E2299" w:rsidP="00EF44EF">
      <w:pPr>
        <w:spacing w:line="360" w:lineRule="auto"/>
        <w:jc w:val="both"/>
        <w:rPr>
          <w:noProof/>
          <w:color w:val="808080" w:themeColor="background1" w:themeShade="80"/>
          <w:szCs w:val="28"/>
          <w:lang w:val="es-MX"/>
        </w:rPr>
      </w:pPr>
      <w:r w:rsidRPr="00232EBB">
        <w:rPr>
          <w:noProof/>
          <w:color w:val="808080" w:themeColor="background1" w:themeShade="80"/>
          <w:szCs w:val="28"/>
          <w:lang w:val="es-MX"/>
        </w:rPr>
        <w:t>En el marco de las iniciativas de bienestar social, el Consejo Nacional de la Seguridad Social (CNSS), en conjunto con el Hemocentro Nacional, realizó una jornada de donación de sangre, en la cual participaron 8 colaboradores de la Tesorería de la Seguridad Social (TSS). Esta actividad se llevó a cabo el 29 de julio de 2025 en la explanada de la Torre de la Seguridad Social.</w:t>
      </w:r>
    </w:p>
    <w:p w14:paraId="18A097C9" w14:textId="1D68E0B4" w:rsidR="00972A03" w:rsidRPr="00232EBB" w:rsidRDefault="00972A03" w:rsidP="00551CC3">
      <w:pPr>
        <w:pStyle w:val="Heading1"/>
        <w:spacing w:after="240"/>
        <w:jc w:val="both"/>
        <w:rPr>
          <w:rFonts w:cs="Times New Roman"/>
          <w:spacing w:val="0"/>
          <w:lang w:val="es-DO"/>
        </w:rPr>
      </w:pPr>
      <w:bookmarkStart w:id="175" w:name="_Toc216952240"/>
      <w:r w:rsidRPr="00232EBB">
        <w:rPr>
          <w:rFonts w:cs="Times New Roman"/>
          <w:spacing w:val="0"/>
          <w:lang w:val="es-DO"/>
        </w:rPr>
        <w:t>4.3 Desempeño de los Procesos Jurídicos</w:t>
      </w:r>
      <w:bookmarkEnd w:id="158"/>
      <w:bookmarkEnd w:id="175"/>
    </w:p>
    <w:p w14:paraId="4BBDEC31" w14:textId="77777777" w:rsidR="008418F3" w:rsidRPr="00232EBB" w:rsidRDefault="005D0EE4" w:rsidP="008418F3">
      <w:pPr>
        <w:spacing w:after="0" w:line="360" w:lineRule="auto"/>
        <w:rPr>
          <w:b/>
          <w:bCs/>
          <w:lang w:val="es-DO"/>
        </w:rPr>
      </w:pPr>
      <w:bookmarkStart w:id="176" w:name="_Toc171677854"/>
      <w:bookmarkStart w:id="177" w:name="_Toc172118671"/>
      <w:bookmarkStart w:id="178" w:name="_Toc172119864"/>
      <w:bookmarkStart w:id="179" w:name="_Toc172120197"/>
      <w:bookmarkStart w:id="180" w:name="_Toc172121415"/>
      <w:r w:rsidRPr="00232EBB">
        <w:rPr>
          <w:b/>
          <w:bCs/>
          <w:lang w:val="es-DO"/>
        </w:rPr>
        <w:t>Acuerdos de Pago</w:t>
      </w:r>
      <w:bookmarkEnd w:id="176"/>
      <w:bookmarkEnd w:id="177"/>
      <w:bookmarkEnd w:id="178"/>
      <w:bookmarkEnd w:id="179"/>
      <w:bookmarkEnd w:id="180"/>
      <w:r w:rsidRPr="00232EBB">
        <w:rPr>
          <w:b/>
          <w:bCs/>
          <w:lang w:val="es-DO"/>
        </w:rPr>
        <w:t xml:space="preserve"> y Contratos</w:t>
      </w:r>
      <w:bookmarkStart w:id="181" w:name="_Hlk184714216"/>
    </w:p>
    <w:p w14:paraId="0387E9D3" w14:textId="6FE903B5" w:rsidR="00E53773" w:rsidRPr="00232EBB" w:rsidRDefault="00E53773" w:rsidP="00977ED7">
      <w:pPr>
        <w:spacing w:line="360" w:lineRule="auto"/>
        <w:jc w:val="both"/>
        <w:rPr>
          <w:b/>
          <w:bCs/>
          <w:lang w:val="es-DO"/>
        </w:rPr>
      </w:pPr>
      <w:r w:rsidRPr="00232EBB">
        <w:rPr>
          <w:noProof/>
          <w:color w:val="808080" w:themeColor="background1" w:themeShade="80"/>
          <w:szCs w:val="28"/>
          <w:lang w:val="es-MX"/>
        </w:rPr>
        <w:t>Al mes de diciembre, la Dirección Jurídica a través de la División de Acuerdos de Pago del Departamento de Elaboración de Documentos Legales, generó 1,</w:t>
      </w:r>
      <w:r w:rsidR="003A1B5C">
        <w:rPr>
          <w:noProof/>
          <w:color w:val="808080" w:themeColor="background1" w:themeShade="80"/>
          <w:szCs w:val="28"/>
          <w:lang w:val="es-MX"/>
        </w:rPr>
        <w:t>424</w:t>
      </w:r>
      <w:r w:rsidRPr="00232EBB">
        <w:rPr>
          <w:noProof/>
          <w:color w:val="808080" w:themeColor="background1" w:themeShade="80"/>
          <w:szCs w:val="28"/>
          <w:lang w:val="es-MX"/>
        </w:rPr>
        <w:t xml:space="preserve"> nuevos acuerdos de pago a empleadores con atrasos en sus obligaciones de pago al Sistema Dominicano de Seguridad Social (SDSS), alcanzando a modo general un recaudo de </w:t>
      </w:r>
      <w:r w:rsidR="003A1B5C" w:rsidRPr="003A1B5C">
        <w:rPr>
          <w:noProof/>
          <w:color w:val="808080" w:themeColor="background1" w:themeShade="80"/>
          <w:szCs w:val="28"/>
          <w:lang w:val="es-MX"/>
        </w:rPr>
        <w:t>Trecientos Sesenta y Dos Millones Trescientos Noventa Mil Novecientos Noventa y Ocho Pesos Dominicanos con 00/100</w:t>
      </w:r>
      <w:r w:rsidR="003A1B5C" w:rsidRPr="00232EBB">
        <w:rPr>
          <w:noProof/>
          <w:color w:val="808080" w:themeColor="background1" w:themeShade="80"/>
          <w:szCs w:val="28"/>
          <w:lang w:val="es-MX"/>
        </w:rPr>
        <w:t xml:space="preserve"> </w:t>
      </w:r>
      <w:r w:rsidRPr="00232EBB">
        <w:rPr>
          <w:noProof/>
          <w:color w:val="808080" w:themeColor="background1" w:themeShade="80"/>
          <w:szCs w:val="28"/>
          <w:lang w:val="es-MX"/>
        </w:rPr>
        <w:t>(RD$</w:t>
      </w:r>
      <w:r w:rsidR="003A1B5C">
        <w:rPr>
          <w:noProof/>
          <w:color w:val="808080" w:themeColor="background1" w:themeShade="80"/>
          <w:szCs w:val="28"/>
          <w:lang w:val="es-MX"/>
        </w:rPr>
        <w:t>362,390,998.00</w:t>
      </w:r>
      <w:r w:rsidRPr="00232EBB">
        <w:rPr>
          <w:noProof/>
          <w:color w:val="808080" w:themeColor="background1" w:themeShade="80"/>
          <w:szCs w:val="28"/>
          <w:lang w:val="es-MX"/>
        </w:rPr>
        <w:t xml:space="preserve">), con proyección de superar los 400 Millones de Pesos Dominicanos para final del 2025. </w:t>
      </w:r>
    </w:p>
    <w:p w14:paraId="1021FE79" w14:textId="4D751562" w:rsidR="00E53773" w:rsidRPr="00232EBB" w:rsidRDefault="00E53773" w:rsidP="00977ED7">
      <w:pPr>
        <w:pStyle w:val="NormalWeb"/>
        <w:spacing w:after="16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Mediante esta modalidad de pago concedida por la TSS a los empleadores, cerca de 1</w:t>
      </w:r>
      <w:r w:rsidR="003A1B5C">
        <w:rPr>
          <w:rFonts w:eastAsiaTheme="minorHAnsi"/>
          <w:noProof/>
          <w:color w:val="808080" w:themeColor="background1" w:themeShade="80"/>
          <w:spacing w:val="20"/>
          <w:szCs w:val="28"/>
          <w:lang w:val="es-MX"/>
        </w:rPr>
        <w:t>4</w:t>
      </w:r>
      <w:r w:rsidRPr="00232EBB">
        <w:rPr>
          <w:rFonts w:eastAsiaTheme="minorHAnsi"/>
          <w:noProof/>
          <w:color w:val="808080" w:themeColor="background1" w:themeShade="80"/>
          <w:spacing w:val="20"/>
          <w:szCs w:val="28"/>
          <w:lang w:val="es-MX"/>
        </w:rPr>
        <w:t xml:space="preserve"> mil trabajadores y sus dependientes lograron acceder nuevamente a los beneficios que brinda el Seguro Familiar de Salud (SFS) del Régimen Contributivo.</w:t>
      </w:r>
    </w:p>
    <w:p w14:paraId="032C31FD" w14:textId="447B6F59" w:rsidR="00E53773" w:rsidRPr="00232EBB" w:rsidRDefault="00E53773" w:rsidP="00977ED7">
      <w:pPr>
        <w:pStyle w:val="NormalWeb"/>
        <w:spacing w:after="16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 xml:space="preserve">Por otro lado, el Departamento ha tramitado y ejecutado un total de </w:t>
      </w:r>
      <w:r w:rsidR="003A1B5C">
        <w:rPr>
          <w:rFonts w:eastAsiaTheme="minorHAnsi"/>
          <w:noProof/>
          <w:color w:val="808080" w:themeColor="background1" w:themeShade="80"/>
          <w:spacing w:val="20"/>
          <w:szCs w:val="28"/>
          <w:lang w:val="es-MX"/>
        </w:rPr>
        <w:t>115</w:t>
      </w:r>
      <w:r w:rsidRPr="00232EBB">
        <w:rPr>
          <w:rFonts w:eastAsiaTheme="minorHAnsi"/>
          <w:noProof/>
          <w:color w:val="808080" w:themeColor="background1" w:themeShade="80"/>
          <w:spacing w:val="20"/>
          <w:szCs w:val="28"/>
          <w:lang w:val="es-MX"/>
        </w:rPr>
        <w:t xml:space="preserve"> Contratos y la gestión existosa de </w:t>
      </w:r>
      <w:r w:rsidR="003A1B5C">
        <w:rPr>
          <w:rFonts w:eastAsiaTheme="minorHAnsi"/>
          <w:noProof/>
          <w:color w:val="808080" w:themeColor="background1" w:themeShade="80"/>
          <w:spacing w:val="20"/>
          <w:szCs w:val="28"/>
          <w:lang w:val="es-MX"/>
        </w:rPr>
        <w:t>89</w:t>
      </w:r>
      <w:r w:rsidRPr="00232EBB">
        <w:rPr>
          <w:rFonts w:eastAsiaTheme="minorHAnsi"/>
          <w:noProof/>
          <w:color w:val="808080" w:themeColor="background1" w:themeShade="80"/>
          <w:spacing w:val="20"/>
          <w:szCs w:val="28"/>
          <w:lang w:val="es-MX"/>
        </w:rPr>
        <w:t xml:space="preserve"> certificaciones de éstos en la Contraloría General de la República.</w:t>
      </w:r>
    </w:p>
    <w:p w14:paraId="7828F8D5" w14:textId="77777777" w:rsidR="005D0EE4" w:rsidRPr="00232EBB" w:rsidRDefault="005D0EE4" w:rsidP="0011472E">
      <w:pPr>
        <w:spacing w:before="240" w:line="360" w:lineRule="auto"/>
        <w:jc w:val="both"/>
        <w:rPr>
          <w:lang w:val="es-DO"/>
        </w:rPr>
      </w:pPr>
      <w:r w:rsidRPr="00232EBB">
        <w:rPr>
          <w:b/>
          <w:bCs/>
          <w:lang w:val="es-DO"/>
        </w:rPr>
        <w:t>Convenios Interinstitucionales</w:t>
      </w:r>
      <w:r w:rsidRPr="00232EBB">
        <w:rPr>
          <w:lang w:val="es-DO"/>
        </w:rPr>
        <w:t>:</w:t>
      </w:r>
    </w:p>
    <w:p w14:paraId="2E551466" w14:textId="77777777" w:rsidR="002143FE" w:rsidRPr="00232EBB" w:rsidRDefault="002143FE" w:rsidP="00506BE9">
      <w:pPr>
        <w:pStyle w:val="NormalWeb"/>
        <w:numPr>
          <w:ilvl w:val="0"/>
          <w:numId w:val="48"/>
        </w:numPr>
        <w:tabs>
          <w:tab w:val="left" w:pos="142"/>
        </w:tabs>
        <w:spacing w:before="240" w:beforeAutospacing="0" w:after="0" w:afterAutospacing="0" w:line="360" w:lineRule="auto"/>
        <w:ind w:left="0" w:firstLine="0"/>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Acuerdo Interinstitucional, de fecha 6 de marzo del 2025, suscrito con el Instituto Nacional de Administración Pública (INAP).</w:t>
      </w:r>
    </w:p>
    <w:p w14:paraId="10FC4986" w14:textId="77777777" w:rsidR="002143FE" w:rsidRPr="00232EBB" w:rsidRDefault="002143FE" w:rsidP="00506BE9">
      <w:pPr>
        <w:pStyle w:val="NormalWeb"/>
        <w:numPr>
          <w:ilvl w:val="0"/>
          <w:numId w:val="48"/>
        </w:numPr>
        <w:tabs>
          <w:tab w:val="left" w:pos="142"/>
        </w:tabs>
        <w:spacing w:before="240" w:beforeAutospacing="0" w:after="0" w:afterAutospacing="0" w:line="360" w:lineRule="auto"/>
        <w:ind w:left="0" w:firstLine="0"/>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lastRenderedPageBreak/>
        <w:t>Acuerdo específico núm. 05, de fecha 10 marzo del 2025, suscrito con la Oficina Gubernamental de Tecnología de la Información y la Comunicación (OGTIC), para Punto GOB Santiago.</w:t>
      </w:r>
    </w:p>
    <w:p w14:paraId="399D638F" w14:textId="77777777" w:rsidR="002143FE" w:rsidRPr="00232EBB" w:rsidRDefault="002143FE" w:rsidP="00506BE9">
      <w:pPr>
        <w:pStyle w:val="NormalWeb"/>
        <w:numPr>
          <w:ilvl w:val="0"/>
          <w:numId w:val="49"/>
        </w:numPr>
        <w:tabs>
          <w:tab w:val="left" w:pos="142"/>
        </w:tabs>
        <w:spacing w:before="240" w:beforeAutospacing="0" w:after="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 xml:space="preserve">Acuerdo de Colaboración, de fecha 14 de marzo del 2025, para la implementación de interoperabilidad con el Consejo Nacional de Seguridad Social (CNSS). </w:t>
      </w:r>
    </w:p>
    <w:p w14:paraId="66014288" w14:textId="77777777" w:rsidR="002143FE" w:rsidRPr="00232EBB" w:rsidRDefault="002143FE" w:rsidP="00977ED7">
      <w:pPr>
        <w:pStyle w:val="NormalWeb"/>
        <w:numPr>
          <w:ilvl w:val="0"/>
          <w:numId w:val="49"/>
        </w:numPr>
        <w:tabs>
          <w:tab w:val="left" w:pos="142"/>
        </w:tabs>
        <w:spacing w:before="0" w:beforeAutospacing="0" w:after="24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Acuerdo de Cooperación Interinstitucional, de fecha 15 de mayo del 2025, para la interoperabilidad con el Departamento Nacional de Investigaciones (DNI).</w:t>
      </w:r>
    </w:p>
    <w:p w14:paraId="59625696" w14:textId="77777777" w:rsidR="002143FE" w:rsidRPr="00232EBB" w:rsidRDefault="002143FE" w:rsidP="00977ED7">
      <w:pPr>
        <w:pStyle w:val="NormalWeb"/>
        <w:numPr>
          <w:ilvl w:val="0"/>
          <w:numId w:val="49"/>
        </w:numPr>
        <w:tabs>
          <w:tab w:val="left" w:pos="142"/>
        </w:tabs>
        <w:spacing w:before="0" w:beforeAutospacing="0" w:after="24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Acuerdo específico núm. 06, de fecha 11 de junio del 2025, suscrito con la Oficina Gubernamental de Tecnología de la Información y la Comunicación (OGTIC), para Punto GOB en Santo Domingo Norte (Colinas Centro).</w:t>
      </w:r>
    </w:p>
    <w:p w14:paraId="2CA0AA03" w14:textId="77777777" w:rsidR="002143FE" w:rsidRPr="00232EBB" w:rsidRDefault="002143FE" w:rsidP="00977ED7">
      <w:pPr>
        <w:pStyle w:val="NormalWeb"/>
        <w:numPr>
          <w:ilvl w:val="0"/>
          <w:numId w:val="49"/>
        </w:numPr>
        <w:tabs>
          <w:tab w:val="left" w:pos="142"/>
        </w:tabs>
        <w:spacing w:before="0" w:beforeAutospacing="0" w:after="24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Acuerdo de Cooperación Interinstitucional para interoperabilidad con el Ministerio de Administración Pública (MAP), de fecha 1 de julio del 2025.</w:t>
      </w:r>
    </w:p>
    <w:p w14:paraId="2AA6EFAF" w14:textId="77777777" w:rsidR="002143FE" w:rsidRPr="00232EBB" w:rsidRDefault="002143FE" w:rsidP="00977ED7">
      <w:pPr>
        <w:pStyle w:val="NormalWeb"/>
        <w:numPr>
          <w:ilvl w:val="0"/>
          <w:numId w:val="49"/>
        </w:numPr>
        <w:tabs>
          <w:tab w:val="left" w:pos="142"/>
        </w:tabs>
        <w:spacing w:before="0" w:beforeAutospacing="0" w:after="24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Acuerdo de Cooperación Interinstitucional para interoperabilidad con el Ministerio de Industria, Comercio y Mipymes (MICM), de fecha 2 de julio del 2025.</w:t>
      </w:r>
    </w:p>
    <w:p w14:paraId="6145E80F" w14:textId="77777777" w:rsidR="002143FE" w:rsidRPr="00232EBB" w:rsidRDefault="002143FE" w:rsidP="00977ED7">
      <w:pPr>
        <w:pStyle w:val="NormalWeb"/>
        <w:numPr>
          <w:ilvl w:val="0"/>
          <w:numId w:val="49"/>
        </w:numPr>
        <w:tabs>
          <w:tab w:val="left" w:pos="142"/>
        </w:tabs>
        <w:spacing w:before="0" w:beforeAutospacing="0" w:after="24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Acuerdo Interinsitucional con el Instituto Dominicano para la Calidad (INDOCAL), para capacitación y adquisición de normas NORDOM ISO, de fecha 16 de julio del 2025.</w:t>
      </w:r>
    </w:p>
    <w:p w14:paraId="51E47F55" w14:textId="77777777" w:rsidR="002143FE" w:rsidRPr="00232EBB" w:rsidRDefault="002143FE" w:rsidP="00977ED7">
      <w:pPr>
        <w:pStyle w:val="NormalWeb"/>
        <w:numPr>
          <w:ilvl w:val="0"/>
          <w:numId w:val="49"/>
        </w:numPr>
        <w:tabs>
          <w:tab w:val="left" w:pos="142"/>
        </w:tabs>
        <w:spacing w:before="0" w:beforeAutospacing="0" w:after="24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Acuerdo de Servicios de Cooperación Interinstitucional con el Banco Múltiple Santa Cruz S.A., para integración a webservices para consulta de información, de fecha 8 de septiembre del 2025.</w:t>
      </w:r>
    </w:p>
    <w:p w14:paraId="45F5D1B2" w14:textId="77777777" w:rsidR="002143FE" w:rsidRPr="00232EBB" w:rsidRDefault="002143FE" w:rsidP="00977ED7">
      <w:pPr>
        <w:pStyle w:val="NormalWeb"/>
        <w:numPr>
          <w:ilvl w:val="0"/>
          <w:numId w:val="49"/>
        </w:numPr>
        <w:tabs>
          <w:tab w:val="left" w:pos="142"/>
        </w:tabs>
        <w:spacing w:before="0" w:beforeAutospacing="0" w:after="24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lastRenderedPageBreak/>
        <w:t>Acuerdo de Servicios con la Junta Central Electoral (JCE), para consulta del archivo maestro de cedulado, de fecha 2 de octubre del 2025.</w:t>
      </w:r>
    </w:p>
    <w:p w14:paraId="027A7023" w14:textId="77777777" w:rsidR="002143FE" w:rsidRPr="00232EBB" w:rsidRDefault="002143FE" w:rsidP="00977ED7">
      <w:pPr>
        <w:pStyle w:val="NormalWeb"/>
        <w:numPr>
          <w:ilvl w:val="0"/>
          <w:numId w:val="49"/>
        </w:numPr>
        <w:tabs>
          <w:tab w:val="left" w:pos="142"/>
        </w:tabs>
        <w:spacing w:before="0" w:beforeAutospacing="0" w:after="24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Acuerdo de Cooperación Interinstitucional para interoperabilidad con el Ministerio del Trabajo (MT), de fecha  13 de octubre del 2025.</w:t>
      </w:r>
    </w:p>
    <w:p w14:paraId="2E2C935B" w14:textId="77777777" w:rsidR="002143FE" w:rsidRPr="00232EBB" w:rsidRDefault="002143FE" w:rsidP="002143FE">
      <w:pPr>
        <w:pStyle w:val="NormalWeb"/>
        <w:numPr>
          <w:ilvl w:val="0"/>
          <w:numId w:val="49"/>
        </w:numPr>
        <w:tabs>
          <w:tab w:val="left" w:pos="142"/>
        </w:tabs>
        <w:spacing w:before="240" w:beforeAutospacing="0" w:after="0" w:afterAutospacing="0" w:line="360" w:lineRule="auto"/>
        <w:jc w:val="both"/>
        <w:rPr>
          <w:rFonts w:eastAsiaTheme="minorHAnsi"/>
          <w:noProof/>
          <w:color w:val="808080" w:themeColor="background1" w:themeShade="80"/>
          <w:spacing w:val="20"/>
          <w:szCs w:val="28"/>
          <w:lang w:val="es-MX"/>
        </w:rPr>
      </w:pPr>
      <w:r w:rsidRPr="00232EBB">
        <w:rPr>
          <w:rFonts w:eastAsiaTheme="minorHAnsi"/>
          <w:noProof/>
          <w:color w:val="808080" w:themeColor="background1" w:themeShade="80"/>
          <w:spacing w:val="20"/>
          <w:szCs w:val="28"/>
          <w:lang w:val="es-MX"/>
        </w:rPr>
        <w:t>Acuerdo de Servicios de Cooperación Interinstitucional con el Banco Múltiple Promerica S.A., para integración a webservices para consulta de información, de fecha 17 de octubre del 2025.</w:t>
      </w:r>
    </w:p>
    <w:p w14:paraId="7CE0CA9D" w14:textId="337579E5" w:rsidR="005D0EE4" w:rsidRPr="00232EBB" w:rsidRDefault="005D0EE4" w:rsidP="0011472E">
      <w:pPr>
        <w:spacing w:before="240" w:line="360" w:lineRule="auto"/>
        <w:rPr>
          <w:b/>
          <w:bCs/>
          <w:lang w:val="es-DO"/>
        </w:rPr>
      </w:pPr>
      <w:r w:rsidRPr="00232EBB">
        <w:rPr>
          <w:b/>
          <w:bCs/>
          <w:lang w:val="es-DO"/>
        </w:rPr>
        <w:t>Cobros Persuasivos y Compulsivos</w:t>
      </w:r>
    </w:p>
    <w:p w14:paraId="2A601595" w14:textId="1E78029E" w:rsidR="003A1B5C" w:rsidRPr="003A1B5C" w:rsidRDefault="002143FE" w:rsidP="003A1B5C">
      <w:pPr>
        <w:spacing w:line="276" w:lineRule="auto"/>
        <w:jc w:val="both"/>
        <w:rPr>
          <w:lang w:val="es-DO"/>
        </w:rPr>
      </w:pPr>
      <w:r w:rsidRPr="00232EBB">
        <w:rPr>
          <w:lang w:val="es-DO"/>
        </w:rPr>
        <w:t xml:space="preserve">En apoyo al proceso del recaudo de las obligaciones de empleadores con la Seguridad Social, la División de Cobranzas logró mes tras mes superar la meta del indicador de la gestión de la cartera asignada. </w:t>
      </w:r>
      <w:r w:rsidR="00D74FBA">
        <w:rPr>
          <w:lang w:val="es-DO"/>
        </w:rPr>
        <w:t>Al cierre del 2025</w:t>
      </w:r>
      <w:r w:rsidRPr="00232EBB">
        <w:rPr>
          <w:lang w:val="es-DO"/>
        </w:rPr>
        <w:t xml:space="preserve"> los montos recuperados en la gestión de cobranzas ascendieron a un total de </w:t>
      </w:r>
      <w:r w:rsidR="003A1B5C" w:rsidRPr="003A1B5C">
        <w:rPr>
          <w:lang w:val="es-DO"/>
        </w:rPr>
        <w:t>Cuarenta y Tres Mil Ochocientos Noventa y Ocho Millones Ciento Doce Mil Trescientos Ochenta Pesos Dominicanos con 08/100 (RD$43,898,112,380.08), con un total de 554,314 notificaciones en atraso pagadas.</w:t>
      </w:r>
    </w:p>
    <w:p w14:paraId="5B0ED29D" w14:textId="4328B3EB" w:rsidR="005D0EE4" w:rsidRPr="00232EBB" w:rsidRDefault="005D0EE4" w:rsidP="003A1B5C">
      <w:pPr>
        <w:spacing w:line="360" w:lineRule="auto"/>
        <w:jc w:val="both"/>
        <w:rPr>
          <w:b/>
          <w:bCs/>
          <w:lang w:val="es-DO"/>
        </w:rPr>
      </w:pPr>
      <w:r w:rsidRPr="00232EBB">
        <w:rPr>
          <w:b/>
          <w:bCs/>
          <w:lang w:val="es-DO"/>
        </w:rPr>
        <w:t>Denuncias Casos de Fraude</w:t>
      </w:r>
    </w:p>
    <w:p w14:paraId="14FB77DC" w14:textId="77777777" w:rsidR="002143FE" w:rsidRDefault="002143FE" w:rsidP="002143FE">
      <w:pPr>
        <w:spacing w:after="0" w:line="360" w:lineRule="auto"/>
        <w:jc w:val="both"/>
        <w:rPr>
          <w:rFonts w:eastAsia="Calibri"/>
          <w:noProof/>
          <w:sz w:val="23"/>
          <w:szCs w:val="23"/>
          <w:lang w:val="es-DO"/>
        </w:rPr>
      </w:pPr>
      <w:bookmarkStart w:id="182" w:name="_Toc171677857"/>
      <w:bookmarkStart w:id="183" w:name="_Toc172118674"/>
      <w:bookmarkStart w:id="184" w:name="_Toc172119867"/>
      <w:bookmarkStart w:id="185" w:name="_Toc172120200"/>
      <w:bookmarkStart w:id="186" w:name="_Toc172121418"/>
      <w:r w:rsidRPr="00232EBB">
        <w:rPr>
          <w:lang w:val="es-DO"/>
        </w:rPr>
        <w:t>Desde la promulgación de la Ley 13-20, en fecha 7 de febrero de 2020, hasta la actualidad, la Tesorería de la Seguridad Social (TSS) ha depositado 333 denuncias, ante la Procuraduría General de la República (PGR), por presuntos fraudes en detrimento del Seguro Familiar de Salud (SFS) del Régimen Contributivo del Sistema Dominicano de Seguridad Social (SDSS). Hasta la fecha, estos casos se encuentran bajo investigación por el Ministerio Público, por lo que no se han judicializado</w:t>
      </w:r>
      <w:r w:rsidRPr="00232EBB">
        <w:rPr>
          <w:rFonts w:eastAsia="Calibri"/>
          <w:noProof/>
          <w:sz w:val="23"/>
          <w:szCs w:val="23"/>
          <w:lang w:val="es-DO"/>
        </w:rPr>
        <w:t>.</w:t>
      </w:r>
    </w:p>
    <w:p w14:paraId="45C20195" w14:textId="77777777" w:rsidR="003A1B5C" w:rsidRPr="00232EBB" w:rsidRDefault="003A1B5C" w:rsidP="002143FE">
      <w:pPr>
        <w:spacing w:after="0" w:line="360" w:lineRule="auto"/>
        <w:jc w:val="both"/>
        <w:rPr>
          <w:rFonts w:eastAsia="Calibri"/>
          <w:noProof/>
          <w:color w:val="auto"/>
          <w:sz w:val="23"/>
          <w:szCs w:val="23"/>
          <w:lang w:val="es-DO"/>
        </w:rPr>
      </w:pPr>
    </w:p>
    <w:p w14:paraId="487171F8" w14:textId="13DF82C1" w:rsidR="005D0EE4" w:rsidRPr="00232EBB" w:rsidRDefault="005D0EE4" w:rsidP="0011472E">
      <w:pPr>
        <w:spacing w:before="240" w:line="360" w:lineRule="auto"/>
        <w:rPr>
          <w:b/>
          <w:bCs/>
          <w:lang w:val="es-DO"/>
        </w:rPr>
      </w:pPr>
      <w:r w:rsidRPr="00232EBB">
        <w:rPr>
          <w:b/>
          <w:bCs/>
          <w:lang w:val="es-DO"/>
        </w:rPr>
        <w:t>Intimaciones de pago</w:t>
      </w:r>
      <w:bookmarkEnd w:id="182"/>
      <w:bookmarkEnd w:id="183"/>
      <w:bookmarkEnd w:id="184"/>
      <w:bookmarkEnd w:id="185"/>
      <w:bookmarkEnd w:id="186"/>
      <w:r w:rsidRPr="00232EBB">
        <w:rPr>
          <w:b/>
          <w:bCs/>
          <w:lang w:val="es-DO"/>
        </w:rPr>
        <w:t xml:space="preserve"> </w:t>
      </w:r>
    </w:p>
    <w:p w14:paraId="2829A70E" w14:textId="75AF8921" w:rsidR="002143FE" w:rsidRPr="00232EBB" w:rsidRDefault="003A1B5C" w:rsidP="002143FE">
      <w:pPr>
        <w:spacing w:before="240" w:line="360" w:lineRule="auto"/>
        <w:jc w:val="both"/>
        <w:rPr>
          <w:lang w:val="es-DO"/>
        </w:rPr>
      </w:pPr>
      <w:r>
        <w:rPr>
          <w:lang w:val="es-DO"/>
        </w:rPr>
        <w:lastRenderedPageBreak/>
        <w:t>En el año</w:t>
      </w:r>
      <w:r w:rsidR="002143FE" w:rsidRPr="00232EBB">
        <w:rPr>
          <w:lang w:val="es-DO"/>
        </w:rPr>
        <w:t xml:space="preserve">, se han elaborado </w:t>
      </w:r>
      <w:r>
        <w:rPr>
          <w:lang w:val="es-DO"/>
        </w:rPr>
        <w:t>608</w:t>
      </w:r>
      <w:r w:rsidR="002143FE" w:rsidRPr="00232EBB">
        <w:rPr>
          <w:lang w:val="es-DO"/>
        </w:rPr>
        <w:t xml:space="preserve"> intimaciones de pago a empleadores morosos en el Gran Santo Domingo y las provincias San Cristóbal, Santiago, San Pedro de Macorís, La Romana y La Altagracia. Como resultado de estas acciones, se ha logrado recuperar alrededor de </w:t>
      </w:r>
      <w:r w:rsidRPr="003A1B5C">
        <w:rPr>
          <w:lang w:val="es-DO"/>
        </w:rPr>
        <w:t xml:space="preserve">Cuarenta y Cuatro Millones Novecientos Ochenta y Tres Mil Cuatrocientos Diecinueve </w:t>
      </w:r>
      <w:r w:rsidR="004173A4" w:rsidRPr="003A1B5C">
        <w:rPr>
          <w:lang w:val="es-DO"/>
        </w:rPr>
        <w:t>pesos dominicanos</w:t>
      </w:r>
      <w:r w:rsidRPr="003A1B5C">
        <w:rPr>
          <w:lang w:val="es-DO"/>
        </w:rPr>
        <w:t xml:space="preserve"> con 37/100 (RD$44,983,419.37),</w:t>
      </w:r>
      <w:r w:rsidR="002143FE" w:rsidRPr="00232EBB">
        <w:rPr>
          <w:lang w:val="es-DO"/>
        </w:rPr>
        <w:t xml:space="preserve"> gracias al saldo de la deuda y a los acuerdos de pago suscritos por los empleadores que presentaban atrasos, permitiendo que regularicen su estatus moroso evitando la judicialización del cobro de la deuda.</w:t>
      </w:r>
    </w:p>
    <w:p w14:paraId="4079844D" w14:textId="3B1177B1" w:rsidR="005D0EE4" w:rsidRPr="00232EBB" w:rsidRDefault="005D0EE4" w:rsidP="0011472E">
      <w:pPr>
        <w:spacing w:before="240" w:line="360" w:lineRule="auto"/>
        <w:rPr>
          <w:b/>
          <w:bCs/>
          <w:lang w:val="es-DO"/>
        </w:rPr>
      </w:pPr>
      <w:r w:rsidRPr="00232EBB">
        <w:rPr>
          <w:b/>
          <w:bCs/>
          <w:lang w:val="es-DO"/>
        </w:rPr>
        <w:t xml:space="preserve">Recursos Administrativos  </w:t>
      </w:r>
    </w:p>
    <w:p w14:paraId="66268CD0" w14:textId="4E0CE0B0" w:rsidR="002143FE" w:rsidRPr="00232EBB" w:rsidRDefault="00C13C0C" w:rsidP="00977ED7">
      <w:pPr>
        <w:spacing w:line="360" w:lineRule="auto"/>
        <w:jc w:val="both"/>
        <w:rPr>
          <w:lang w:val="es-DO"/>
        </w:rPr>
      </w:pPr>
      <w:bookmarkStart w:id="187" w:name="_Toc171677859"/>
      <w:bookmarkStart w:id="188" w:name="_Toc172118676"/>
      <w:bookmarkStart w:id="189" w:name="_Toc172119869"/>
      <w:bookmarkStart w:id="190" w:name="_Toc172120202"/>
      <w:bookmarkStart w:id="191" w:name="_Toc172121420"/>
      <w:r w:rsidRPr="00232EBB">
        <w:rPr>
          <w:lang w:val="es-DO"/>
        </w:rPr>
        <w:t>L</w:t>
      </w:r>
      <w:r w:rsidR="002143FE" w:rsidRPr="00232EBB">
        <w:rPr>
          <w:lang w:val="es-DO"/>
        </w:rPr>
        <w:t>a División de Procesos Judiciales y Administrativos del Departamento de Litigación tramitó las respuestas de 4</w:t>
      </w:r>
      <w:r w:rsidR="004173A4">
        <w:rPr>
          <w:lang w:val="es-DO"/>
        </w:rPr>
        <w:t>8</w:t>
      </w:r>
      <w:r w:rsidR="002143FE" w:rsidRPr="00232EBB">
        <w:rPr>
          <w:lang w:val="es-DO"/>
        </w:rPr>
        <w:t xml:space="preserve"> recursos de reconsideración interpuestos sobre decisiones emitidas por la TSS. </w:t>
      </w:r>
    </w:p>
    <w:p w14:paraId="53B36053" w14:textId="77777777" w:rsidR="004173A4" w:rsidRPr="004173A4" w:rsidRDefault="004173A4" w:rsidP="004173A4">
      <w:pPr>
        <w:spacing w:line="276" w:lineRule="auto"/>
        <w:jc w:val="both"/>
        <w:rPr>
          <w:lang w:val="es-DO"/>
        </w:rPr>
      </w:pPr>
      <w:r w:rsidRPr="004173A4">
        <w:rPr>
          <w:lang w:val="es-DO"/>
        </w:rPr>
        <w:t>De las decisiones recurridas ante la TSS solo 14 fueron apeladas ante el Consejo Nacional de la Seguridad Social (CNSS), lo que evidencia las garantías del debido proceso administrativo que ejerce esta TSS.</w:t>
      </w:r>
    </w:p>
    <w:p w14:paraId="25277B2F" w14:textId="32312056" w:rsidR="005D0EE4" w:rsidRPr="00232EBB" w:rsidRDefault="005D0EE4" w:rsidP="00977ED7">
      <w:pPr>
        <w:spacing w:line="360" w:lineRule="auto"/>
        <w:jc w:val="both"/>
        <w:rPr>
          <w:b/>
          <w:bCs/>
          <w:lang w:val="es-DO"/>
        </w:rPr>
      </w:pPr>
      <w:r w:rsidRPr="00232EBB">
        <w:rPr>
          <w:b/>
          <w:bCs/>
          <w:lang w:val="es-DO"/>
        </w:rPr>
        <w:t>Procesos Judiciales</w:t>
      </w:r>
      <w:bookmarkEnd w:id="187"/>
      <w:bookmarkEnd w:id="188"/>
      <w:bookmarkEnd w:id="189"/>
      <w:bookmarkEnd w:id="190"/>
      <w:bookmarkEnd w:id="191"/>
      <w:r w:rsidRPr="00232EBB">
        <w:rPr>
          <w:b/>
          <w:bCs/>
          <w:lang w:val="es-DO"/>
        </w:rPr>
        <w:t xml:space="preserve"> </w:t>
      </w:r>
    </w:p>
    <w:p w14:paraId="44EB41B6" w14:textId="476BF3B2" w:rsidR="009B1EC2" w:rsidRPr="00232EBB" w:rsidRDefault="009B1EC2" w:rsidP="00977ED7">
      <w:pPr>
        <w:spacing w:line="360" w:lineRule="auto"/>
        <w:jc w:val="both"/>
        <w:rPr>
          <w:lang w:val="es-DO"/>
        </w:rPr>
      </w:pPr>
      <w:bookmarkStart w:id="192" w:name="_Toc171677860"/>
      <w:bookmarkStart w:id="193" w:name="_Toc172118677"/>
      <w:bookmarkStart w:id="194" w:name="_Toc172119870"/>
      <w:bookmarkStart w:id="195" w:name="_Toc172120203"/>
      <w:bookmarkStart w:id="196" w:name="_Toc172121421"/>
      <w:bookmarkStart w:id="197" w:name="_Toc171677861"/>
      <w:bookmarkStart w:id="198" w:name="_Toc172118678"/>
      <w:bookmarkStart w:id="199" w:name="_Toc172119871"/>
      <w:bookmarkStart w:id="200" w:name="_Toc172120204"/>
      <w:bookmarkStart w:id="201" w:name="_Toc172121422"/>
      <w:r w:rsidRPr="00232EBB">
        <w:rPr>
          <w:lang w:val="es-DO"/>
        </w:rPr>
        <w:t xml:space="preserve">En la actualidad contamos con </w:t>
      </w:r>
      <w:r w:rsidR="004173A4">
        <w:rPr>
          <w:lang w:val="es-DO"/>
        </w:rPr>
        <w:t>52</w:t>
      </w:r>
      <w:r w:rsidRPr="00232EBB">
        <w:rPr>
          <w:lang w:val="es-DO"/>
        </w:rPr>
        <w:t xml:space="preserve"> procesos judiciales activos en los tribunales de la República, de los cuales </w:t>
      </w:r>
      <w:r w:rsidR="004173A4">
        <w:rPr>
          <w:lang w:val="es-DO"/>
        </w:rPr>
        <w:t>21</w:t>
      </w:r>
      <w:r w:rsidRPr="00232EBB">
        <w:rPr>
          <w:lang w:val="es-DO"/>
        </w:rPr>
        <w:t xml:space="preserve"> </w:t>
      </w:r>
      <w:bookmarkEnd w:id="192"/>
      <w:bookmarkEnd w:id="193"/>
      <w:bookmarkEnd w:id="194"/>
      <w:bookmarkEnd w:id="195"/>
      <w:bookmarkEnd w:id="196"/>
      <w:r w:rsidR="004173A4">
        <w:rPr>
          <w:lang w:val="es-DO"/>
        </w:rPr>
        <w:t>pertenecen a años anteriores.</w:t>
      </w:r>
    </w:p>
    <w:p w14:paraId="1044B445" w14:textId="0A834E87" w:rsidR="009B1EC2" w:rsidRPr="00232EBB" w:rsidRDefault="009B1EC2" w:rsidP="00977ED7">
      <w:pPr>
        <w:spacing w:line="360" w:lineRule="auto"/>
        <w:jc w:val="both"/>
        <w:rPr>
          <w:lang w:val="es-DO"/>
        </w:rPr>
      </w:pPr>
      <w:r w:rsidRPr="00232EBB">
        <w:rPr>
          <w:lang w:val="es-DO"/>
        </w:rPr>
        <w:t xml:space="preserve">En cumplimiento de sus facultades </w:t>
      </w:r>
      <w:r w:rsidR="00C13C0C" w:rsidRPr="00232EBB">
        <w:rPr>
          <w:lang w:val="es-DO"/>
        </w:rPr>
        <w:t>la TSS</w:t>
      </w:r>
      <w:r w:rsidRPr="00232EBB">
        <w:rPr>
          <w:lang w:val="es-DO"/>
        </w:rPr>
        <w:t xml:space="preserve"> apoderó al Tribunal Superior Administrativo (TSA), de 16 demandas en cobro de cotizaciones y recargos vencidos y no pagados al SDSS, en contra de empleadores que presentan atrasos en sus deberes con el Sistema Dominicano de Seguridad Social. </w:t>
      </w:r>
    </w:p>
    <w:bookmarkEnd w:id="181"/>
    <w:bookmarkEnd w:id="197"/>
    <w:bookmarkEnd w:id="198"/>
    <w:bookmarkEnd w:id="199"/>
    <w:bookmarkEnd w:id="200"/>
    <w:bookmarkEnd w:id="201"/>
    <w:p w14:paraId="2FAAEB8B" w14:textId="77777777" w:rsidR="009B1EC2" w:rsidRPr="00232EBB" w:rsidRDefault="009B1EC2" w:rsidP="009B1EC2">
      <w:pPr>
        <w:spacing w:before="240" w:after="0" w:line="360" w:lineRule="auto"/>
        <w:rPr>
          <w:b/>
          <w:bCs/>
          <w:lang w:val="es-DO"/>
        </w:rPr>
      </w:pPr>
      <w:r w:rsidRPr="00232EBB">
        <w:rPr>
          <w:b/>
          <w:bCs/>
          <w:lang w:val="es-DO"/>
        </w:rPr>
        <w:t>Logros:</w:t>
      </w:r>
    </w:p>
    <w:p w14:paraId="4B1B1367" w14:textId="77777777" w:rsidR="009B1EC2" w:rsidRPr="00232EBB" w:rsidRDefault="009B1EC2" w:rsidP="009B1EC2">
      <w:pPr>
        <w:rPr>
          <w:sz w:val="14"/>
          <w:szCs w:val="14"/>
          <w:lang w:val="es-DO"/>
        </w:rPr>
      </w:pPr>
    </w:p>
    <w:p w14:paraId="68C44370" w14:textId="5ED6B292" w:rsidR="009B1EC2" w:rsidRPr="00232EBB" w:rsidRDefault="009B1EC2" w:rsidP="009B1EC2">
      <w:pPr>
        <w:pStyle w:val="ListParagraph"/>
        <w:numPr>
          <w:ilvl w:val="0"/>
          <w:numId w:val="50"/>
        </w:numPr>
        <w:shd w:val="clear" w:color="auto" w:fill="FFFFFF"/>
        <w:spacing w:line="360" w:lineRule="auto"/>
        <w:textAlignment w:val="baseline"/>
        <w:rPr>
          <w:rFonts w:ascii="Times New Roman" w:eastAsiaTheme="minorHAnsi" w:hAnsi="Times New Roman"/>
          <w:color w:val="767171"/>
          <w:spacing w:val="20"/>
          <w:sz w:val="24"/>
          <w:szCs w:val="24"/>
        </w:rPr>
      </w:pPr>
      <w:r w:rsidRPr="00232EBB">
        <w:rPr>
          <w:rFonts w:ascii="Times New Roman" w:eastAsiaTheme="minorHAnsi" w:hAnsi="Times New Roman"/>
          <w:color w:val="767171"/>
          <w:spacing w:val="20"/>
          <w:sz w:val="24"/>
          <w:szCs w:val="24"/>
        </w:rPr>
        <w:lastRenderedPageBreak/>
        <w:t>La auditoría de precertificación de las Normas ISO 27001 y 27301 resaltó en su informe final como una de las principales fortalezas la elaboración y correcta implementación de la Tabla de Amortización para los acuerdos de pago por multas. Este instrumento permitió evidenciar un control más eficiente, transparente y sistemático sobre los compromisos de pago asumidos por los empleadores.</w:t>
      </w:r>
    </w:p>
    <w:p w14:paraId="4C5C048A" w14:textId="6169E567" w:rsidR="009B1EC2" w:rsidRPr="00232EBB" w:rsidRDefault="009B1EC2" w:rsidP="009B1EC2">
      <w:pPr>
        <w:pStyle w:val="ListParagraph"/>
        <w:numPr>
          <w:ilvl w:val="0"/>
          <w:numId w:val="50"/>
        </w:numPr>
        <w:shd w:val="clear" w:color="auto" w:fill="FFFFFF"/>
        <w:spacing w:line="360" w:lineRule="auto"/>
        <w:textAlignment w:val="baseline"/>
        <w:rPr>
          <w:rFonts w:ascii="Times New Roman" w:eastAsiaTheme="minorHAnsi" w:hAnsi="Times New Roman"/>
          <w:color w:val="767171"/>
          <w:spacing w:val="20"/>
          <w:sz w:val="24"/>
          <w:szCs w:val="24"/>
        </w:rPr>
      </w:pPr>
      <w:r w:rsidRPr="00232EBB">
        <w:rPr>
          <w:rFonts w:ascii="Times New Roman" w:eastAsiaTheme="minorHAnsi" w:hAnsi="Times New Roman"/>
          <w:color w:val="767171"/>
          <w:spacing w:val="20"/>
          <w:sz w:val="24"/>
          <w:szCs w:val="24"/>
        </w:rPr>
        <w:t>Se logró la ejecución del Plan Operativo Anual (POA) en un 100%, cumpliendo con todos los productos, actividades y metas institucionales programadas para el período, lo que refleja una planificación efectiva y un alto nivel de desempeño en la gestión.</w:t>
      </w:r>
    </w:p>
    <w:p w14:paraId="01270EB5" w14:textId="74207240" w:rsidR="009B1EC2" w:rsidRPr="00232EBB" w:rsidRDefault="009B1EC2" w:rsidP="009B1EC2">
      <w:pPr>
        <w:pStyle w:val="ListParagraph"/>
        <w:numPr>
          <w:ilvl w:val="0"/>
          <w:numId w:val="50"/>
        </w:numPr>
        <w:shd w:val="clear" w:color="auto" w:fill="FFFFFF"/>
        <w:spacing w:line="360" w:lineRule="auto"/>
        <w:textAlignment w:val="baseline"/>
        <w:rPr>
          <w:rFonts w:ascii="Times New Roman" w:eastAsiaTheme="minorHAnsi" w:hAnsi="Times New Roman"/>
          <w:color w:val="767171"/>
          <w:spacing w:val="20"/>
          <w:sz w:val="24"/>
          <w:szCs w:val="24"/>
        </w:rPr>
      </w:pPr>
      <w:r w:rsidRPr="00232EBB">
        <w:rPr>
          <w:rFonts w:ascii="Times New Roman" w:eastAsiaTheme="minorHAnsi" w:hAnsi="Times New Roman"/>
          <w:color w:val="767171"/>
          <w:spacing w:val="20"/>
          <w:sz w:val="24"/>
          <w:szCs w:val="24"/>
        </w:rPr>
        <w:t>En acuerdos de pago se incorporó el sistema automatizado vía la plataforma de servicios y se incluyeron los primeros acuerdos de pago por multa contribuyendo al proceso de recuperación de los recursos adeudados.</w:t>
      </w:r>
    </w:p>
    <w:p w14:paraId="690D0518" w14:textId="77777777" w:rsidR="004173A4" w:rsidRPr="004173A4" w:rsidRDefault="004173A4" w:rsidP="00935633">
      <w:pPr>
        <w:pStyle w:val="ListParagraph"/>
        <w:numPr>
          <w:ilvl w:val="0"/>
          <w:numId w:val="50"/>
        </w:numPr>
        <w:shd w:val="clear" w:color="auto" w:fill="FFFFFF"/>
        <w:spacing w:line="360" w:lineRule="auto"/>
        <w:textAlignment w:val="baseline"/>
        <w:rPr>
          <w:rFonts w:ascii="Times New Roman" w:eastAsiaTheme="minorHAnsi" w:hAnsi="Times New Roman"/>
          <w:color w:val="767171"/>
          <w:spacing w:val="20"/>
          <w:sz w:val="24"/>
          <w:szCs w:val="24"/>
        </w:rPr>
      </w:pPr>
      <w:r w:rsidRPr="004173A4">
        <w:rPr>
          <w:rFonts w:ascii="Times New Roman" w:eastAsiaTheme="minorHAnsi" w:hAnsi="Times New Roman"/>
          <w:color w:val="767171"/>
          <w:spacing w:val="20"/>
          <w:sz w:val="24"/>
          <w:szCs w:val="24"/>
        </w:rPr>
        <w:t>En el año 2025,  se gestionó el cobro de Veintidós Millones Ciento Cinco Mil Setecientos Veinte Pesos Dominicanos con 05/100 (RD$22,105,720.05), correspondiente a las multas impuestas por la SISALRIL, en ocasión a las infracciones cometidas por las Administradoras de Riesgos de Salud (ARS) en perjuicio del Sistema Dominicano de Seguridad Social (SDSS), reafirmando el compromiso con el cumplimiento del marco regulatorio vigente. El destino de estos recursos es la cuenta de subsidios del regimen contributivo que administra la SISALRIL.</w:t>
      </w:r>
    </w:p>
    <w:p w14:paraId="1201A10C" w14:textId="1CE3E679" w:rsidR="009B1EC2" w:rsidRPr="00232EBB" w:rsidRDefault="009B1EC2" w:rsidP="009B1EC2">
      <w:pPr>
        <w:pStyle w:val="ListParagraph"/>
        <w:numPr>
          <w:ilvl w:val="0"/>
          <w:numId w:val="50"/>
        </w:numPr>
        <w:shd w:val="clear" w:color="auto" w:fill="FFFFFF"/>
        <w:spacing w:line="360" w:lineRule="auto"/>
        <w:textAlignment w:val="baseline"/>
        <w:rPr>
          <w:rFonts w:ascii="Times New Roman" w:eastAsiaTheme="minorHAnsi" w:hAnsi="Times New Roman"/>
          <w:color w:val="767171"/>
          <w:spacing w:val="20"/>
          <w:sz w:val="24"/>
          <w:szCs w:val="24"/>
        </w:rPr>
      </w:pPr>
      <w:r w:rsidRPr="00232EBB">
        <w:rPr>
          <w:rFonts w:ascii="Times New Roman" w:eastAsiaTheme="minorHAnsi" w:hAnsi="Times New Roman"/>
          <w:color w:val="767171"/>
          <w:spacing w:val="20"/>
          <w:sz w:val="24"/>
          <w:szCs w:val="24"/>
        </w:rPr>
        <w:t>La dirección jurídica ha participado activamente en colaboración con la Dirección de Fiscalización Externa en las mesas de trabajo creadas por el Ministerio Público para la prevención, persecución y lucha contra el fraude al Seguro Familiar de Salud (SFS) del Régimen Contributivo.</w:t>
      </w:r>
    </w:p>
    <w:p w14:paraId="466BB586" w14:textId="77777777" w:rsidR="009B1EC2" w:rsidRPr="00232EBB" w:rsidRDefault="009B1EC2" w:rsidP="009B1EC2">
      <w:pPr>
        <w:pStyle w:val="ListParagraph"/>
        <w:numPr>
          <w:ilvl w:val="0"/>
          <w:numId w:val="50"/>
        </w:numPr>
        <w:shd w:val="clear" w:color="auto" w:fill="FFFFFF"/>
        <w:spacing w:line="360" w:lineRule="auto"/>
        <w:textAlignment w:val="baseline"/>
        <w:rPr>
          <w:rFonts w:ascii="Times New Roman" w:eastAsiaTheme="minorHAnsi" w:hAnsi="Times New Roman"/>
          <w:color w:val="767171"/>
          <w:spacing w:val="20"/>
          <w:sz w:val="24"/>
          <w:szCs w:val="24"/>
        </w:rPr>
      </w:pPr>
      <w:r w:rsidRPr="00232EBB">
        <w:rPr>
          <w:rFonts w:ascii="Times New Roman" w:eastAsiaTheme="minorHAnsi" w:hAnsi="Times New Roman"/>
          <w:color w:val="767171"/>
          <w:spacing w:val="20"/>
          <w:sz w:val="24"/>
          <w:szCs w:val="24"/>
        </w:rPr>
        <w:lastRenderedPageBreak/>
        <w:t>En materia de cobranza se implementaron mejoras integrales tendentes a potenciar la estrategia de cobros tanto en la gestión personalizada como la inclusión de nuevas vías telemáticas para optimizar el recaudo de las cuentas por cobrar de los empleadores.</w:t>
      </w:r>
    </w:p>
    <w:p w14:paraId="30EFBF67" w14:textId="5504C082" w:rsidR="009B1EC2" w:rsidRPr="00232EBB" w:rsidRDefault="004173A4" w:rsidP="009B1EC2">
      <w:pPr>
        <w:pStyle w:val="ListParagraph"/>
        <w:numPr>
          <w:ilvl w:val="0"/>
          <w:numId w:val="50"/>
        </w:numPr>
        <w:shd w:val="clear" w:color="auto" w:fill="FFFFFF"/>
        <w:spacing w:line="360" w:lineRule="auto"/>
        <w:textAlignment w:val="baseline"/>
        <w:rPr>
          <w:rFonts w:ascii="Times New Roman" w:eastAsiaTheme="minorHAnsi" w:hAnsi="Times New Roman"/>
          <w:color w:val="767171"/>
          <w:spacing w:val="20"/>
          <w:sz w:val="24"/>
          <w:szCs w:val="24"/>
        </w:rPr>
      </w:pPr>
      <w:r>
        <w:rPr>
          <w:rFonts w:ascii="Times New Roman" w:eastAsiaTheme="minorHAnsi" w:hAnsi="Times New Roman"/>
          <w:color w:val="767171"/>
          <w:spacing w:val="20"/>
          <w:sz w:val="24"/>
          <w:szCs w:val="24"/>
        </w:rPr>
        <w:t>En el año 2025,</w:t>
      </w:r>
      <w:r w:rsidR="009B1EC2" w:rsidRPr="00232EBB">
        <w:rPr>
          <w:rFonts w:ascii="Times New Roman" w:eastAsiaTheme="minorHAnsi" w:hAnsi="Times New Roman"/>
          <w:color w:val="767171"/>
          <w:spacing w:val="20"/>
          <w:sz w:val="24"/>
          <w:szCs w:val="24"/>
        </w:rPr>
        <w:t xml:space="preserve"> la División de Cobranzas logró recuperar la suma de </w:t>
      </w:r>
      <w:r w:rsidRPr="004173A4">
        <w:rPr>
          <w:rFonts w:ascii="Times New Roman" w:eastAsiaTheme="minorHAnsi" w:hAnsi="Times New Roman"/>
          <w:color w:val="767171"/>
          <w:spacing w:val="20"/>
          <w:sz w:val="24"/>
          <w:szCs w:val="24"/>
        </w:rPr>
        <w:t>Cuatro Millones Novecientos Sesenta y Cuatro Mil Quinientos Veintisiete Pesos Dominicanos con 57/100 (RD$4,964,527.57)</w:t>
      </w:r>
      <w:r w:rsidR="009B1EC2" w:rsidRPr="00232EBB">
        <w:rPr>
          <w:rFonts w:ascii="Times New Roman" w:eastAsiaTheme="minorHAnsi" w:hAnsi="Times New Roman"/>
          <w:color w:val="767171"/>
          <w:spacing w:val="20"/>
          <w:sz w:val="24"/>
          <w:szCs w:val="24"/>
        </w:rPr>
        <w:t>, por concepto de sanciones pecuniarias (multas) impuestas por esta TSS, como resultado de procesos sancionadores seguidos a los empleadores infractores.</w:t>
      </w:r>
    </w:p>
    <w:p w14:paraId="2C05F5DB" w14:textId="5F789B6E" w:rsidR="00E82B86" w:rsidRPr="00232EBB" w:rsidRDefault="00E82B86" w:rsidP="009B1EC2">
      <w:pPr>
        <w:pStyle w:val="Heading1"/>
        <w:spacing w:after="240" w:line="259" w:lineRule="auto"/>
        <w:jc w:val="both"/>
        <w:rPr>
          <w:rFonts w:cs="Times New Roman"/>
          <w:spacing w:val="0"/>
          <w:lang w:val="es-DO"/>
        </w:rPr>
      </w:pPr>
      <w:bookmarkStart w:id="202" w:name="_Toc216952241"/>
      <w:r w:rsidRPr="00232EBB">
        <w:rPr>
          <w:rFonts w:cs="Times New Roman"/>
          <w:spacing w:val="0"/>
          <w:lang w:val="es-DO"/>
        </w:rPr>
        <w:t>4.4 Desempeño de la Tecnología</w:t>
      </w:r>
      <w:bookmarkEnd w:id="131"/>
      <w:bookmarkEnd w:id="132"/>
      <w:bookmarkEnd w:id="133"/>
      <w:bookmarkEnd w:id="202"/>
    </w:p>
    <w:p w14:paraId="7BB5ACC5" w14:textId="77777777" w:rsidR="00E82B86" w:rsidRPr="00232EBB" w:rsidRDefault="00E82B86" w:rsidP="007D6A4B">
      <w:pPr>
        <w:spacing w:before="240" w:line="360" w:lineRule="auto"/>
        <w:jc w:val="both"/>
        <w:rPr>
          <w:rFonts w:eastAsia="Calibri"/>
          <w:lang w:val="es-ES"/>
        </w:rPr>
      </w:pPr>
      <w:r w:rsidRPr="00232EBB">
        <w:rPr>
          <w:rFonts w:eastAsia="Calibri"/>
          <w:lang w:val="es-ES"/>
        </w:rPr>
        <w:t>La TSS como parte de su proceso de innovación y adaptación a los cambios tecnológicos y regulatorios actual, identificó la necesidad de crear una Dirección que permitiera junto a las ya existente estar a la vanguardia de dichos cambios. La misma ha trabajado de manera transversal con todas las áreas, así como con organismos nacionales e internacionales con el objetivo de realizar su gestión bajo las mejores prácticas, aprobada por el MAP a finales del 2023, con el nombre de Dirección de Gestión de Normas, Cumplimiento y Ciberseguridad.</w:t>
      </w:r>
    </w:p>
    <w:p w14:paraId="0AB9964C" w14:textId="3028C609" w:rsidR="003F04C7" w:rsidRPr="00232EBB" w:rsidRDefault="003F04C7" w:rsidP="007D6A4B">
      <w:pPr>
        <w:pStyle w:val="Heading1"/>
        <w:spacing w:after="240"/>
        <w:jc w:val="both"/>
        <w:rPr>
          <w:rFonts w:cs="Times New Roman"/>
          <w:spacing w:val="0"/>
          <w:sz w:val="24"/>
          <w:szCs w:val="24"/>
          <w:lang w:val="es-DO"/>
        </w:rPr>
      </w:pPr>
      <w:bookmarkStart w:id="203" w:name="_Toc216952242"/>
      <w:bookmarkStart w:id="204" w:name="_Toc140587657"/>
      <w:bookmarkStart w:id="205" w:name="_Toc171677870"/>
      <w:bookmarkStart w:id="206" w:name="_Toc172119877"/>
      <w:bookmarkStart w:id="207" w:name="_Toc172120210"/>
      <w:bookmarkStart w:id="208" w:name="_Toc172121428"/>
      <w:r w:rsidRPr="00232EBB">
        <w:rPr>
          <w:rFonts w:cs="Times New Roman"/>
          <w:spacing w:val="0"/>
          <w:sz w:val="24"/>
          <w:szCs w:val="24"/>
          <w:lang w:val="es-DO"/>
        </w:rPr>
        <w:t>Nuevo Módulo de Interoperabilidad y Gestión de Credenciales</w:t>
      </w:r>
      <w:bookmarkEnd w:id="203"/>
    </w:p>
    <w:p w14:paraId="0CC78880" w14:textId="77777777" w:rsidR="003F04C7" w:rsidRPr="00232EBB" w:rsidRDefault="003F04C7" w:rsidP="007D6A4B">
      <w:pPr>
        <w:spacing w:before="240" w:after="0" w:line="360" w:lineRule="auto"/>
        <w:jc w:val="both"/>
        <w:rPr>
          <w:lang w:val="es-ES"/>
        </w:rPr>
      </w:pPr>
      <w:r w:rsidRPr="00232EBB">
        <w:rPr>
          <w:lang w:val="es-ES"/>
        </w:rPr>
        <w:t>Durante el 2025, la TSS completó el desarrollo e implementación de un módulo especializado para la creación y gestión de credenciales digitales. Este sistema permite automatizar la asignación segura de credenciales para el acceso a servicios interoperables a través de la plataforma X-Road, garantizando autenticación confiable y auditoría de los accesos. Gracias a esta implementación, se fortalecieron los vínculos tecnológicos con instituciones clave del ecosistema de seguridad social.</w:t>
      </w:r>
    </w:p>
    <w:p w14:paraId="02CE5B85" w14:textId="68E370B3" w:rsidR="003F04C7" w:rsidRPr="00232EBB" w:rsidRDefault="003F04C7" w:rsidP="007D6A4B">
      <w:pPr>
        <w:spacing w:before="240" w:after="0" w:line="360" w:lineRule="auto"/>
        <w:jc w:val="both"/>
        <w:rPr>
          <w:lang w:val="es-ES"/>
        </w:rPr>
      </w:pPr>
      <w:r w:rsidRPr="00232EBB">
        <w:rPr>
          <w:lang w:val="es-ES"/>
        </w:rPr>
        <w:lastRenderedPageBreak/>
        <w:t>Integración con Carpeta Ciudadana de la OGTIC y con Seguridad Ciudadana</w:t>
      </w:r>
      <w:r w:rsidR="00580971" w:rsidRPr="00232EBB">
        <w:rPr>
          <w:lang w:val="es-ES"/>
        </w:rPr>
        <w:t>, s</w:t>
      </w:r>
      <w:r w:rsidRPr="00232EBB">
        <w:rPr>
          <w:lang w:val="es-ES"/>
        </w:rPr>
        <w:t>e avanzó en los procesos de interoperabilidad para validar información de manera más ágil y segura.</w:t>
      </w:r>
    </w:p>
    <w:p w14:paraId="407389AC" w14:textId="77777777" w:rsidR="003F04C7" w:rsidRPr="00232EBB" w:rsidRDefault="003F04C7" w:rsidP="007D6A4B">
      <w:pPr>
        <w:spacing w:before="240" w:after="0" w:line="360" w:lineRule="auto"/>
        <w:jc w:val="both"/>
        <w:rPr>
          <w:lang w:val="es-ES"/>
        </w:rPr>
      </w:pPr>
      <w:r w:rsidRPr="00232EBB">
        <w:rPr>
          <w:lang w:val="es-ES"/>
        </w:rPr>
        <w:t>Integración con el MAP a través del portal Concursa</w:t>
      </w:r>
      <w:r w:rsidRPr="00232EBB">
        <w:rPr>
          <w:lang w:val="es-ES"/>
        </w:rPr>
        <w:br/>
        <w:t>Se completó la conexión que permite validar el estatus laboral de los ciudadanos directamente en línea.</w:t>
      </w:r>
    </w:p>
    <w:p w14:paraId="0A78B391" w14:textId="6CA2C3C0" w:rsidR="003F04C7" w:rsidRPr="00232EBB" w:rsidRDefault="003F04C7" w:rsidP="007D6A4B">
      <w:pPr>
        <w:pStyle w:val="Heading1"/>
        <w:spacing w:after="240"/>
        <w:jc w:val="both"/>
        <w:rPr>
          <w:rFonts w:cs="Times New Roman"/>
          <w:spacing w:val="0"/>
          <w:sz w:val="24"/>
          <w:szCs w:val="24"/>
          <w:lang w:val="es-DO"/>
        </w:rPr>
      </w:pPr>
      <w:bookmarkStart w:id="209" w:name="_Toc216952243"/>
      <w:r w:rsidRPr="00232EBB">
        <w:rPr>
          <w:rFonts w:cs="Times New Roman"/>
          <w:spacing w:val="0"/>
          <w:sz w:val="24"/>
          <w:szCs w:val="24"/>
          <w:lang w:val="es-DO"/>
        </w:rPr>
        <w:t>Modernización de la Infraestructura Tecnológica</w:t>
      </w:r>
      <w:bookmarkEnd w:id="209"/>
    </w:p>
    <w:p w14:paraId="538D7779" w14:textId="77777777" w:rsidR="003F04C7" w:rsidRPr="00232EBB" w:rsidRDefault="003F04C7" w:rsidP="007D6A4B">
      <w:pPr>
        <w:spacing w:before="240" w:after="0" w:line="360" w:lineRule="auto"/>
        <w:jc w:val="both"/>
        <w:rPr>
          <w:lang w:val="es-ES"/>
        </w:rPr>
      </w:pPr>
      <w:r w:rsidRPr="00232EBB">
        <w:rPr>
          <w:lang w:val="es-ES"/>
        </w:rPr>
        <w:t xml:space="preserve">En el marco del proceso de modernización institucional, la Dirección de Tecnología de la TSS adoptó una serie de tecnologías de vanguardia para el desarrollo de sus nuevas plataformas digitales. Entre los principales avances se destaca la adopción de una arquitectura basada en microservicios, que permite una mayor escalabilidad, flexibilidad y mantenimiento modular de los sistemas. Esta arquitectura fue soportada mediante la implementación de contenedores Docker, lo cual garantiza entornos más estables, portables y eficientes. </w:t>
      </w:r>
    </w:p>
    <w:p w14:paraId="6503261B" w14:textId="77777777" w:rsidR="003F04C7" w:rsidRPr="00232EBB" w:rsidRDefault="003F04C7" w:rsidP="007D6A4B">
      <w:pPr>
        <w:spacing w:before="240" w:after="0" w:line="360" w:lineRule="auto"/>
        <w:jc w:val="both"/>
        <w:rPr>
          <w:lang w:val="es-ES"/>
        </w:rPr>
      </w:pPr>
      <w:r w:rsidRPr="00232EBB">
        <w:rPr>
          <w:lang w:val="es-ES"/>
        </w:rPr>
        <w:t>Asimismo, se integró un API Gateway que centraliza la gestión de las comunicaciones entre servicios, optimizando el enrutamiento, seguridad y monitoreo. Para el desarrollo de estas soluciones se utilizaron lenguajes de programación modernos y versátiles, que permiten respuestas más ágiles a las necesidades del negocio. Finalmente, se rediseñó la interfaz de usuario con un enfoque centrado en la experiencia del usuario (UX/UI), garantizando accesibilidad, facilidad de uso y compatibilidad con dispositivos móviles.</w:t>
      </w:r>
    </w:p>
    <w:p w14:paraId="6ECDB8F9" w14:textId="77777777" w:rsidR="003F04C7" w:rsidRPr="00232EBB" w:rsidRDefault="003F04C7" w:rsidP="007D6A4B">
      <w:pPr>
        <w:spacing w:before="240" w:after="0" w:line="360" w:lineRule="auto"/>
        <w:jc w:val="both"/>
        <w:rPr>
          <w:lang w:val="es-ES"/>
        </w:rPr>
      </w:pPr>
      <w:r w:rsidRPr="00232EBB">
        <w:rPr>
          <w:lang w:val="es-ES"/>
        </w:rPr>
        <w:t>Migración a la nube del 75% de los sistemas de monitoreo</w:t>
      </w:r>
      <w:r w:rsidRPr="00232EBB">
        <w:rPr>
          <w:lang w:val="es-ES"/>
        </w:rPr>
        <w:br/>
        <w:t>Esta migración permite un monitoreo descentralizado y más resiliente de los datacenters institucionales.</w:t>
      </w:r>
    </w:p>
    <w:p w14:paraId="1C996DEB" w14:textId="6E7D9FB4" w:rsidR="003F04C7" w:rsidRPr="00232EBB" w:rsidRDefault="003F04C7" w:rsidP="007D6A4B">
      <w:pPr>
        <w:spacing w:before="240" w:after="0" w:line="360" w:lineRule="auto"/>
        <w:jc w:val="both"/>
        <w:rPr>
          <w:lang w:val="es-ES"/>
        </w:rPr>
      </w:pPr>
      <w:r w:rsidRPr="00232EBB">
        <w:rPr>
          <w:lang w:val="es-ES"/>
        </w:rPr>
        <w:lastRenderedPageBreak/>
        <w:t>Implementación de AWS sobre la infraestructura de redes como nube principal la infraestructura de redes ahora opera sobre AWS como plataforma base, mejorando la capacidad de respuesta, seguridad y continuidad.</w:t>
      </w:r>
    </w:p>
    <w:p w14:paraId="6796C3A8" w14:textId="2FF0E850" w:rsidR="003F04C7" w:rsidRPr="00232EBB" w:rsidRDefault="003F04C7" w:rsidP="007D6A4B">
      <w:pPr>
        <w:pStyle w:val="Heading1"/>
        <w:spacing w:after="240"/>
        <w:jc w:val="both"/>
        <w:rPr>
          <w:rFonts w:cs="Times New Roman"/>
          <w:spacing w:val="0"/>
          <w:sz w:val="24"/>
          <w:szCs w:val="24"/>
          <w:lang w:val="es-DO"/>
        </w:rPr>
      </w:pPr>
      <w:bookmarkStart w:id="210" w:name="_Toc216952244"/>
      <w:r w:rsidRPr="00232EBB">
        <w:rPr>
          <w:rFonts w:cs="Times New Roman"/>
          <w:spacing w:val="0"/>
          <w:sz w:val="24"/>
          <w:szCs w:val="24"/>
          <w:lang w:val="es-DO"/>
        </w:rPr>
        <w:t>Mejoras en la Oficina Virtual y el Portal Web</w:t>
      </w:r>
      <w:bookmarkEnd w:id="210"/>
    </w:p>
    <w:p w14:paraId="1DDCFB65" w14:textId="5141BAA5" w:rsidR="003F04C7" w:rsidRPr="00232EBB" w:rsidRDefault="003F04C7" w:rsidP="007D6A4B">
      <w:pPr>
        <w:spacing w:before="240" w:after="0" w:line="360" w:lineRule="auto"/>
        <w:jc w:val="both"/>
        <w:rPr>
          <w:lang w:val="es-ES"/>
        </w:rPr>
      </w:pPr>
      <w:r w:rsidRPr="00232EBB">
        <w:rPr>
          <w:lang w:val="es-ES"/>
        </w:rPr>
        <w:t>Se rediseñó completamente el front</w:t>
      </w:r>
      <w:r w:rsidR="00E220D4" w:rsidRPr="00232EBB">
        <w:rPr>
          <w:lang w:val="es-ES"/>
        </w:rPr>
        <w:t>-</w:t>
      </w:r>
      <w:r w:rsidRPr="00232EBB">
        <w:rPr>
          <w:lang w:val="es-ES"/>
        </w:rPr>
        <w:t>end de la Oficina Virtual, alineando su experiencia visual a dispositivos móviles, con mejoras en la accesibilidad, notificaciones en línea, integración con sistemas de trazabilidad, y paneles dinámicos personalizados según el perfil del usuario. Este rediseño responde al compromiso de ofrecer una atención más cercana, ágil y adaptada a las necesidades de los ciudadanos y empleadores.</w:t>
      </w:r>
    </w:p>
    <w:p w14:paraId="264247CD" w14:textId="77777777" w:rsidR="00E220D4" w:rsidRPr="00232EBB" w:rsidRDefault="003F04C7" w:rsidP="007D6A4B">
      <w:pPr>
        <w:spacing w:before="240" w:line="360" w:lineRule="auto"/>
        <w:jc w:val="both"/>
        <w:rPr>
          <w:lang w:val="es-ES"/>
        </w:rPr>
      </w:pPr>
      <w:r w:rsidRPr="00232EBB">
        <w:rPr>
          <w:lang w:val="es-ES"/>
        </w:rPr>
        <w:t>Además, los paneles personalizados ofrecen a cada usuario una vista adaptada a sus necesidades específicas, mostrando solo los servicios y funciones relevantes, lo cual mejora la navegación, reduce tiempos de atención y optimiza la experiencia digital. Estas innovaciones tecnológicas representan un avance significativo en la transformación digital de la TSS y reafirman su compromiso con la excelencia en la prestación de servicio.</w:t>
      </w:r>
    </w:p>
    <w:p w14:paraId="5F1438D8" w14:textId="57C95465" w:rsidR="003F04C7" w:rsidRPr="00232EBB" w:rsidRDefault="003F04C7" w:rsidP="007D6A4B">
      <w:pPr>
        <w:spacing w:before="240" w:line="360" w:lineRule="auto"/>
        <w:jc w:val="both"/>
        <w:rPr>
          <w:lang w:val="es-ES"/>
        </w:rPr>
      </w:pPr>
      <w:r w:rsidRPr="00232EBB">
        <w:rPr>
          <w:lang w:val="es-ES"/>
        </w:rPr>
        <w:t>En el marco de su compromiso con la mejora continua y la transformación digital, la Tesorería de la Seguridad Social (TSS) lanzó su nueva página web institucional, completamente rediseñada para ofrecer una experiencia más moderna, intuitiva y eficiente.</w:t>
      </w:r>
    </w:p>
    <w:p w14:paraId="25D5A24B" w14:textId="77777777" w:rsidR="003F04C7" w:rsidRPr="00232EBB" w:rsidRDefault="003F04C7" w:rsidP="007D6A4B">
      <w:pPr>
        <w:spacing w:line="360" w:lineRule="auto"/>
        <w:jc w:val="both"/>
        <w:rPr>
          <w:lang w:val="es-ES"/>
        </w:rPr>
      </w:pPr>
      <w:r w:rsidRPr="00232EBB">
        <w:rPr>
          <w:lang w:val="es-ES"/>
        </w:rPr>
        <w:t>Este rediseño responde a las necesidades actuales de los usuarios, ofreciendo una interfaz visual más clara y atractiva, compatible con dispositivos móviles y adaptada a los estándares internacionales de accesibilidad y usabilidad.</w:t>
      </w:r>
    </w:p>
    <w:p w14:paraId="4E0173A9" w14:textId="77777777" w:rsidR="003F04C7" w:rsidRPr="00232EBB" w:rsidRDefault="003F04C7" w:rsidP="007D6A4B">
      <w:pPr>
        <w:spacing w:line="360" w:lineRule="auto"/>
        <w:jc w:val="both"/>
        <w:rPr>
          <w:lang w:val="es-ES"/>
        </w:rPr>
      </w:pPr>
      <w:r w:rsidRPr="00232EBB">
        <w:rPr>
          <w:lang w:val="es-ES"/>
        </w:rPr>
        <w:t xml:space="preserve">La migración de la página a la nube ofrece además una mayor disponibilidad, escalabilidad y seguridad en el manejo de la </w:t>
      </w:r>
      <w:r w:rsidRPr="00232EBB">
        <w:rPr>
          <w:lang w:val="es-ES"/>
        </w:rPr>
        <w:lastRenderedPageBreak/>
        <w:t>información. Todo esto contribuye a fortalecer la relación de la TSS con ciudadanos, empleadores, instituciones públicas y privadas, facilitando la interacción digital y posicionando a la institución como un referente en servicios públicos digitales.</w:t>
      </w:r>
    </w:p>
    <w:p w14:paraId="40E8D0C1" w14:textId="56E03BB2" w:rsidR="003F04C7" w:rsidRPr="00232EBB" w:rsidRDefault="003F04C7" w:rsidP="003F04C7">
      <w:pPr>
        <w:pStyle w:val="Heading1"/>
        <w:spacing w:after="240"/>
        <w:jc w:val="both"/>
        <w:rPr>
          <w:rFonts w:cs="Times New Roman"/>
          <w:spacing w:val="0"/>
          <w:sz w:val="24"/>
          <w:szCs w:val="24"/>
          <w:lang w:val="es-DO"/>
        </w:rPr>
      </w:pPr>
      <w:bookmarkStart w:id="211" w:name="_Toc216952245"/>
      <w:r w:rsidRPr="00232EBB">
        <w:rPr>
          <w:rFonts w:cs="Times New Roman"/>
          <w:spacing w:val="0"/>
          <w:sz w:val="24"/>
          <w:szCs w:val="24"/>
          <w:lang w:val="es-DO"/>
        </w:rPr>
        <w:t>Unificación de Canales y Mejora de la Atención al Ciudadano</w:t>
      </w:r>
      <w:bookmarkEnd w:id="211"/>
    </w:p>
    <w:p w14:paraId="3E9D4BB0" w14:textId="6D707790" w:rsidR="003F04C7" w:rsidRPr="00232EBB" w:rsidRDefault="003F04C7" w:rsidP="00441965">
      <w:pPr>
        <w:numPr>
          <w:ilvl w:val="0"/>
          <w:numId w:val="37"/>
        </w:numPr>
        <w:spacing w:after="0" w:line="360" w:lineRule="auto"/>
        <w:jc w:val="both"/>
        <w:rPr>
          <w:lang w:val="es-ES"/>
        </w:rPr>
      </w:pPr>
      <w:r w:rsidRPr="00232EBB">
        <w:rPr>
          <w:lang w:val="es-ES"/>
        </w:rPr>
        <w:t>Se consolidaron todos los canales en una plataforma única de atención, permitiendo una gestión más eficiente y rápida de las consultas recibidas.</w:t>
      </w:r>
    </w:p>
    <w:p w14:paraId="336D7508" w14:textId="77777777" w:rsidR="003F04C7" w:rsidRPr="00232EBB" w:rsidRDefault="003F04C7" w:rsidP="00441965">
      <w:pPr>
        <w:spacing w:after="0" w:line="360" w:lineRule="auto"/>
        <w:ind w:left="360"/>
        <w:jc w:val="both"/>
        <w:rPr>
          <w:lang w:val="es-ES"/>
        </w:rPr>
      </w:pPr>
    </w:p>
    <w:p w14:paraId="092F826F" w14:textId="6F69CE10" w:rsidR="003F04C7" w:rsidRPr="00232EBB" w:rsidRDefault="00E220D4" w:rsidP="00441965">
      <w:pPr>
        <w:numPr>
          <w:ilvl w:val="0"/>
          <w:numId w:val="37"/>
        </w:numPr>
        <w:spacing w:after="0" w:line="360" w:lineRule="auto"/>
        <w:jc w:val="both"/>
        <w:rPr>
          <w:lang w:val="es-ES"/>
        </w:rPr>
      </w:pPr>
      <w:bookmarkStart w:id="212" w:name="_Hlk216943399"/>
      <w:r w:rsidRPr="00232EBB">
        <w:rPr>
          <w:lang w:val="es-ES"/>
        </w:rPr>
        <w:t>Fueron</w:t>
      </w:r>
      <w:r w:rsidR="003F04C7" w:rsidRPr="00232EBB">
        <w:rPr>
          <w:lang w:val="es-ES"/>
        </w:rPr>
        <w:t xml:space="preserve"> incorpora</w:t>
      </w:r>
      <w:r w:rsidRPr="00232EBB">
        <w:rPr>
          <w:lang w:val="es-ES"/>
        </w:rPr>
        <w:t>dos</w:t>
      </w:r>
      <w:r w:rsidR="003F04C7" w:rsidRPr="00232EBB">
        <w:rPr>
          <w:lang w:val="es-ES"/>
        </w:rPr>
        <w:t xml:space="preserve"> chatbots </w:t>
      </w:r>
      <w:r w:rsidRPr="00232EBB">
        <w:rPr>
          <w:lang w:val="es-ES"/>
        </w:rPr>
        <w:t xml:space="preserve">las </w:t>
      </w:r>
      <w:r w:rsidR="003F04C7" w:rsidRPr="00232EBB">
        <w:rPr>
          <w:lang w:val="es-ES"/>
        </w:rPr>
        <w:t xml:space="preserve">llamadas y </w:t>
      </w:r>
      <w:r w:rsidRPr="00232EBB">
        <w:rPr>
          <w:lang w:val="es-ES"/>
        </w:rPr>
        <w:t xml:space="preserve">el </w:t>
      </w:r>
      <w:r w:rsidR="003F04C7" w:rsidRPr="00232EBB">
        <w:rPr>
          <w:lang w:val="es-ES"/>
        </w:rPr>
        <w:t>chat del Centro de Asistencia al Empleador (implementación completada al 98%) ha permitido ofrecer respuestas rápidas y precisas, disminuyendo tiempos de espera.</w:t>
      </w:r>
    </w:p>
    <w:bookmarkEnd w:id="212"/>
    <w:p w14:paraId="7EAB9D95" w14:textId="77777777" w:rsidR="003F04C7" w:rsidRPr="00232EBB" w:rsidRDefault="003F04C7" w:rsidP="00441965">
      <w:pPr>
        <w:spacing w:after="0" w:line="360" w:lineRule="auto"/>
        <w:ind w:left="360"/>
        <w:jc w:val="both"/>
        <w:rPr>
          <w:lang w:val="es-ES"/>
        </w:rPr>
      </w:pPr>
    </w:p>
    <w:p w14:paraId="18C9655A" w14:textId="7DBF2790" w:rsidR="003F04C7" w:rsidRPr="00232EBB" w:rsidRDefault="003F04C7" w:rsidP="00441965">
      <w:pPr>
        <w:numPr>
          <w:ilvl w:val="0"/>
          <w:numId w:val="37"/>
        </w:numPr>
        <w:spacing w:after="0" w:line="360" w:lineRule="auto"/>
        <w:jc w:val="both"/>
        <w:rPr>
          <w:lang w:val="es-ES"/>
        </w:rPr>
      </w:pPr>
      <w:r w:rsidRPr="00232EBB">
        <w:rPr>
          <w:lang w:val="es-ES"/>
        </w:rPr>
        <w:t>Se integró el servicio de mensajería a través de WhatsApp, ampliando los puntos de contacto y facilitando el acceso de empleadores y ciudadanos.</w:t>
      </w:r>
    </w:p>
    <w:p w14:paraId="0141E9DE" w14:textId="77777777" w:rsidR="003F04C7" w:rsidRPr="00232EBB" w:rsidRDefault="003F04C7" w:rsidP="00441965">
      <w:pPr>
        <w:spacing w:after="0" w:line="360" w:lineRule="auto"/>
        <w:ind w:left="360"/>
        <w:jc w:val="both"/>
        <w:rPr>
          <w:lang w:val="es-ES"/>
        </w:rPr>
      </w:pPr>
    </w:p>
    <w:p w14:paraId="58B597A7" w14:textId="295DCCC7" w:rsidR="003F04C7" w:rsidRPr="00232EBB" w:rsidRDefault="003F04C7" w:rsidP="00441965">
      <w:pPr>
        <w:numPr>
          <w:ilvl w:val="0"/>
          <w:numId w:val="37"/>
        </w:numPr>
        <w:spacing w:after="0" w:line="360" w:lineRule="auto"/>
        <w:jc w:val="both"/>
        <w:rPr>
          <w:lang w:val="es-ES"/>
        </w:rPr>
      </w:pPr>
      <w:r w:rsidRPr="00232EBB">
        <w:rPr>
          <w:lang w:val="es-ES"/>
        </w:rPr>
        <w:t>Fueron automatizados los procesos de registro de empresas y acuerdos de pago, reduciendo la intervención manual y asegurando mayor rapidez y trazabilidad.</w:t>
      </w:r>
    </w:p>
    <w:p w14:paraId="4987CFBD" w14:textId="77777777" w:rsidR="003F04C7" w:rsidRPr="00232EBB" w:rsidRDefault="003F04C7" w:rsidP="00441965">
      <w:pPr>
        <w:spacing w:after="0" w:line="360" w:lineRule="auto"/>
        <w:ind w:left="360"/>
        <w:jc w:val="both"/>
        <w:rPr>
          <w:lang w:val="es-ES"/>
        </w:rPr>
      </w:pPr>
    </w:p>
    <w:p w14:paraId="7A396471" w14:textId="396C1438" w:rsidR="003F04C7" w:rsidRPr="00232EBB" w:rsidRDefault="00E220D4" w:rsidP="00441965">
      <w:pPr>
        <w:numPr>
          <w:ilvl w:val="0"/>
          <w:numId w:val="37"/>
        </w:numPr>
        <w:spacing w:after="0" w:line="360" w:lineRule="auto"/>
        <w:jc w:val="both"/>
        <w:rPr>
          <w:lang w:val="es-ES"/>
        </w:rPr>
      </w:pPr>
      <w:bookmarkStart w:id="213" w:name="_Hlk216943407"/>
      <w:r w:rsidRPr="00232EBB">
        <w:rPr>
          <w:lang w:val="es-ES"/>
        </w:rPr>
        <w:t xml:space="preserve">Puesto </w:t>
      </w:r>
      <w:r w:rsidR="003F04C7" w:rsidRPr="00232EBB">
        <w:rPr>
          <w:lang w:val="es-ES"/>
        </w:rPr>
        <w:t xml:space="preserve">en funcionamiento </w:t>
      </w:r>
      <w:r w:rsidRPr="00232EBB">
        <w:rPr>
          <w:lang w:val="es-ES"/>
        </w:rPr>
        <w:t>d</w:t>
      </w:r>
      <w:r w:rsidR="003F04C7" w:rsidRPr="00232EBB">
        <w:rPr>
          <w:lang w:val="es-ES"/>
        </w:rPr>
        <w:t>el servicio de emisión automatizada de notificaciones de pago por multa, fortaleciendo los procesos de control institucional.</w:t>
      </w:r>
    </w:p>
    <w:bookmarkEnd w:id="213"/>
    <w:p w14:paraId="06CF3AA4" w14:textId="77777777" w:rsidR="003F04C7" w:rsidRPr="00232EBB" w:rsidRDefault="003F04C7" w:rsidP="003F04C7">
      <w:pPr>
        <w:spacing w:line="360" w:lineRule="auto"/>
        <w:ind w:left="720"/>
        <w:contextualSpacing/>
        <w:jc w:val="both"/>
        <w:rPr>
          <w:lang w:val="es-ES"/>
        </w:rPr>
      </w:pPr>
    </w:p>
    <w:p w14:paraId="1B8243F8" w14:textId="77777777" w:rsidR="00E220D4" w:rsidRPr="00232EBB" w:rsidRDefault="003F04C7" w:rsidP="00046663">
      <w:pPr>
        <w:numPr>
          <w:ilvl w:val="0"/>
          <w:numId w:val="38"/>
        </w:numPr>
        <w:spacing w:after="0" w:line="360" w:lineRule="auto"/>
        <w:contextualSpacing/>
        <w:jc w:val="both"/>
        <w:rPr>
          <w:lang w:val="es-ES"/>
        </w:rPr>
      </w:pPr>
      <w:bookmarkStart w:id="214" w:name="_Hlk216943418"/>
      <w:r w:rsidRPr="00232EBB">
        <w:rPr>
          <w:lang w:val="es-ES"/>
        </w:rPr>
        <w:t>Implementación de Asistentes Virtuales Inteligentes para la Atención y Análisis Institucional Durante el período, la TSS introdujo dos innovaciones tecnológicas clave: Tessa, la nueva asistente virtual de servicios, y Newton, el asistente de análisis de datos.</w:t>
      </w:r>
    </w:p>
    <w:p w14:paraId="66A4B670" w14:textId="53A5D251" w:rsidR="00E220D4" w:rsidRPr="00232EBB" w:rsidRDefault="003F04C7" w:rsidP="00E220D4">
      <w:pPr>
        <w:spacing w:after="0" w:line="360" w:lineRule="auto"/>
        <w:ind w:left="720"/>
        <w:contextualSpacing/>
        <w:jc w:val="both"/>
        <w:rPr>
          <w:lang w:val="es-ES"/>
        </w:rPr>
      </w:pPr>
      <w:r w:rsidRPr="00232EBB">
        <w:rPr>
          <w:lang w:val="es-ES"/>
        </w:rPr>
        <w:lastRenderedPageBreak/>
        <w:br/>
        <w:t>Tessa brinda atención 24/7 vía web, WhatsApp y llamadas, ofreciendo orientación, explicación de procesos, estatus de trámites y transferencia eficiente de casos al Centro de Asistencia al Usuario cuando se requiere intervención humana.</w:t>
      </w:r>
      <w:r w:rsidR="00046663" w:rsidRPr="00232EBB">
        <w:rPr>
          <w:lang w:val="es-ES"/>
        </w:rPr>
        <w:t xml:space="preserve"> </w:t>
      </w:r>
      <w:r w:rsidRPr="00232EBB">
        <w:rPr>
          <w:lang w:val="es-ES"/>
        </w:rPr>
        <w:t>Newton, por su parte, optimiza la gestión de la información institucional mediante respuestas inmediatas a consultas estadísticas y análisis complejos, fortaleciendo la toma de decisiones basada en datos.</w:t>
      </w:r>
    </w:p>
    <w:bookmarkEnd w:id="214"/>
    <w:p w14:paraId="640F4C8D" w14:textId="02508902" w:rsidR="003F04C7" w:rsidRPr="00232EBB" w:rsidRDefault="003F04C7" w:rsidP="00E220D4">
      <w:pPr>
        <w:spacing w:after="0" w:line="360" w:lineRule="auto"/>
        <w:ind w:left="720"/>
        <w:contextualSpacing/>
        <w:jc w:val="both"/>
        <w:rPr>
          <w:lang w:val="es-ES"/>
        </w:rPr>
      </w:pPr>
      <w:r w:rsidRPr="00232EBB">
        <w:rPr>
          <w:lang w:val="es-ES"/>
        </w:rPr>
        <w:br/>
        <w:t>Ambas herramientas representan un avance significativo en la modernización digital, mejorando la eficiencia operativa, la disponibilidad del servicio y la experiencia del ciudadano sin sustituir el valor del recurso humano.</w:t>
      </w:r>
    </w:p>
    <w:p w14:paraId="39F89E55" w14:textId="735F0BE7" w:rsidR="003F04C7" w:rsidRPr="00232EBB" w:rsidRDefault="003F04C7" w:rsidP="003F04C7">
      <w:pPr>
        <w:pStyle w:val="Heading1"/>
        <w:spacing w:after="240"/>
        <w:jc w:val="both"/>
        <w:rPr>
          <w:rFonts w:cs="Times New Roman"/>
          <w:spacing w:val="0"/>
          <w:sz w:val="24"/>
          <w:szCs w:val="24"/>
          <w:lang w:val="es-DO"/>
        </w:rPr>
      </w:pPr>
      <w:bookmarkStart w:id="215" w:name="_Toc216952246"/>
      <w:r w:rsidRPr="00232EBB">
        <w:rPr>
          <w:rFonts w:cs="Times New Roman"/>
          <w:spacing w:val="0"/>
          <w:sz w:val="24"/>
          <w:szCs w:val="24"/>
          <w:lang w:val="es-DO"/>
        </w:rPr>
        <w:t>Implementación de Sistema de Inventario Digital con Código QR</w:t>
      </w:r>
      <w:bookmarkEnd w:id="215"/>
    </w:p>
    <w:p w14:paraId="11DEE5F1" w14:textId="77777777" w:rsidR="003F04C7" w:rsidRPr="00232EBB" w:rsidRDefault="003F04C7" w:rsidP="003F04C7">
      <w:pPr>
        <w:spacing w:after="0" w:line="360" w:lineRule="auto"/>
        <w:jc w:val="both"/>
        <w:rPr>
          <w:lang w:val="es-ES"/>
        </w:rPr>
      </w:pPr>
      <w:r w:rsidRPr="00232EBB">
        <w:rPr>
          <w:lang w:val="es-ES"/>
        </w:rPr>
        <w:t>Se adoptó una solución de software open source para gestión de inventario de activos TI, con las siguientes funcionalidades destacadas:</w:t>
      </w:r>
    </w:p>
    <w:p w14:paraId="2F2817D5" w14:textId="77777777" w:rsidR="003F04C7" w:rsidRPr="00232EBB" w:rsidRDefault="003F04C7" w:rsidP="000E2299">
      <w:pPr>
        <w:numPr>
          <w:ilvl w:val="0"/>
          <w:numId w:val="37"/>
        </w:numPr>
        <w:spacing w:after="0" w:line="360" w:lineRule="auto"/>
        <w:jc w:val="both"/>
        <w:rPr>
          <w:lang w:val="es-ES"/>
        </w:rPr>
      </w:pPr>
      <w:r w:rsidRPr="00232EBB">
        <w:rPr>
          <w:lang w:val="es-ES"/>
        </w:rPr>
        <w:t>Visualización por usuario, ubicación y tipo de equipo.</w:t>
      </w:r>
    </w:p>
    <w:p w14:paraId="30271295" w14:textId="77777777" w:rsidR="003F04C7" w:rsidRPr="00232EBB" w:rsidRDefault="003F04C7" w:rsidP="000E2299">
      <w:pPr>
        <w:numPr>
          <w:ilvl w:val="0"/>
          <w:numId w:val="37"/>
        </w:numPr>
        <w:spacing w:after="0" w:line="360" w:lineRule="auto"/>
        <w:jc w:val="both"/>
        <w:rPr>
          <w:lang w:val="es-ES"/>
        </w:rPr>
      </w:pPr>
      <w:r w:rsidRPr="00232EBB">
        <w:rPr>
          <w:lang w:val="es-ES"/>
        </w:rPr>
        <w:t>Generación de etiquetas QR.</w:t>
      </w:r>
    </w:p>
    <w:p w14:paraId="6600AD8D" w14:textId="77777777" w:rsidR="003F04C7" w:rsidRPr="00232EBB" w:rsidRDefault="003F04C7" w:rsidP="000E2299">
      <w:pPr>
        <w:numPr>
          <w:ilvl w:val="0"/>
          <w:numId w:val="37"/>
        </w:numPr>
        <w:spacing w:after="0" w:line="360" w:lineRule="auto"/>
        <w:jc w:val="both"/>
        <w:rPr>
          <w:lang w:val="es-ES"/>
        </w:rPr>
      </w:pPr>
      <w:r w:rsidRPr="00232EBB">
        <w:rPr>
          <w:lang w:val="es-ES"/>
        </w:rPr>
        <w:t>Alerta de vencimiento de garantías y licencias.</w:t>
      </w:r>
    </w:p>
    <w:p w14:paraId="430EE8BE" w14:textId="77777777" w:rsidR="003F04C7" w:rsidRPr="00232EBB" w:rsidRDefault="003F04C7" w:rsidP="000E2299">
      <w:pPr>
        <w:numPr>
          <w:ilvl w:val="0"/>
          <w:numId w:val="37"/>
        </w:numPr>
        <w:spacing w:after="0" w:line="360" w:lineRule="auto"/>
        <w:jc w:val="both"/>
        <w:rPr>
          <w:lang w:val="es-ES"/>
        </w:rPr>
      </w:pPr>
      <w:r w:rsidRPr="00232EBB">
        <w:rPr>
          <w:lang w:val="es-ES"/>
        </w:rPr>
        <w:t>Auditoría con trazabilidad completa y firmas digitales.</w:t>
      </w:r>
    </w:p>
    <w:p w14:paraId="5AE30742" w14:textId="2058A0DE" w:rsidR="003F04C7" w:rsidRPr="00232EBB" w:rsidRDefault="003F04C7" w:rsidP="003F04C7">
      <w:pPr>
        <w:pStyle w:val="Heading1"/>
        <w:spacing w:after="240"/>
        <w:jc w:val="both"/>
        <w:rPr>
          <w:rFonts w:cs="Times New Roman"/>
          <w:spacing w:val="0"/>
          <w:sz w:val="24"/>
          <w:szCs w:val="24"/>
          <w:lang w:val="es-DO"/>
        </w:rPr>
      </w:pPr>
      <w:bookmarkStart w:id="216" w:name="_Toc216952247"/>
      <w:r w:rsidRPr="00232EBB">
        <w:rPr>
          <w:rFonts w:cs="Times New Roman"/>
          <w:spacing w:val="0"/>
          <w:sz w:val="24"/>
          <w:szCs w:val="24"/>
          <w:lang w:val="es-DO"/>
        </w:rPr>
        <w:t>Desarrollo De Aplicaciones Internas</w:t>
      </w:r>
      <w:bookmarkEnd w:id="216"/>
    </w:p>
    <w:p w14:paraId="529A57E0" w14:textId="77777777" w:rsidR="003F04C7" w:rsidRPr="00232EBB" w:rsidRDefault="003F04C7" w:rsidP="003F04C7">
      <w:pPr>
        <w:spacing w:before="100" w:beforeAutospacing="1" w:after="100" w:afterAutospacing="1" w:line="360" w:lineRule="auto"/>
        <w:jc w:val="both"/>
        <w:rPr>
          <w:lang w:val="es-ES"/>
        </w:rPr>
      </w:pPr>
      <w:r w:rsidRPr="00232EBB">
        <w:rPr>
          <w:lang w:val="es-ES"/>
        </w:rPr>
        <w:t>Se completó la puesta en producción de diversos módulos que fortalecen la operación interna:</w:t>
      </w:r>
    </w:p>
    <w:p w14:paraId="062A119B" w14:textId="77777777" w:rsidR="003F04C7" w:rsidRPr="00232EBB" w:rsidRDefault="003F04C7" w:rsidP="000E2299">
      <w:pPr>
        <w:numPr>
          <w:ilvl w:val="0"/>
          <w:numId w:val="39"/>
        </w:numPr>
        <w:spacing w:before="100" w:beforeAutospacing="1" w:after="100" w:afterAutospacing="1" w:line="360" w:lineRule="auto"/>
        <w:jc w:val="both"/>
        <w:rPr>
          <w:lang w:val="es-ES"/>
        </w:rPr>
      </w:pPr>
      <w:r w:rsidRPr="00232EBB">
        <w:rPr>
          <w:lang w:val="es-ES"/>
        </w:rPr>
        <w:t>Impresión de Cheques para el proceso de generar los cheques de manera automatizada</w:t>
      </w:r>
    </w:p>
    <w:p w14:paraId="16F229FF" w14:textId="77777777" w:rsidR="003F04C7" w:rsidRPr="00232EBB" w:rsidRDefault="003F04C7" w:rsidP="000E2299">
      <w:pPr>
        <w:numPr>
          <w:ilvl w:val="0"/>
          <w:numId w:val="39"/>
        </w:numPr>
        <w:spacing w:before="100" w:beforeAutospacing="1" w:after="100" w:afterAutospacing="1" w:line="360" w:lineRule="auto"/>
        <w:jc w:val="both"/>
        <w:rPr>
          <w:lang w:val="es-ES"/>
        </w:rPr>
      </w:pPr>
      <w:r w:rsidRPr="00232EBB">
        <w:rPr>
          <w:lang w:val="es-ES"/>
        </w:rPr>
        <w:lastRenderedPageBreak/>
        <w:t>Servicios Generales para la Gestión de todos los trabajos realizados por el área de servicios generales que permite mantener el control y trazabilidad de las operaciones.</w:t>
      </w:r>
    </w:p>
    <w:p w14:paraId="6341E870" w14:textId="66A72E97" w:rsidR="003F04C7" w:rsidRPr="00232EBB" w:rsidRDefault="003F04C7" w:rsidP="000E2299">
      <w:pPr>
        <w:numPr>
          <w:ilvl w:val="0"/>
          <w:numId w:val="39"/>
        </w:numPr>
        <w:spacing w:before="100" w:beforeAutospacing="1" w:after="100" w:afterAutospacing="1" w:line="360" w:lineRule="auto"/>
        <w:jc w:val="both"/>
        <w:rPr>
          <w:lang w:val="es-ES"/>
        </w:rPr>
      </w:pPr>
      <w:r w:rsidRPr="00232EBB">
        <w:rPr>
          <w:lang w:val="es-ES"/>
        </w:rPr>
        <w:t>M</w:t>
      </w:r>
      <w:r w:rsidR="008105FE" w:rsidRPr="00232EBB">
        <w:rPr>
          <w:lang w:val="es-ES"/>
        </w:rPr>
        <w:t>ó</w:t>
      </w:r>
      <w:r w:rsidRPr="00232EBB">
        <w:rPr>
          <w:lang w:val="es-ES"/>
        </w:rPr>
        <w:t xml:space="preserve">dulo que permite generar las Inspecciones realizadas por la Dirección de Fiscalización Externa </w:t>
      </w:r>
    </w:p>
    <w:p w14:paraId="0B0362B1" w14:textId="7C8A897F" w:rsidR="003F04C7" w:rsidRPr="00232EBB" w:rsidRDefault="003F04C7" w:rsidP="003F04C7">
      <w:pPr>
        <w:pStyle w:val="Heading1"/>
        <w:spacing w:after="240"/>
        <w:jc w:val="both"/>
        <w:rPr>
          <w:rFonts w:cs="Times New Roman"/>
          <w:spacing w:val="0"/>
          <w:sz w:val="24"/>
          <w:szCs w:val="24"/>
          <w:lang w:val="es-DO"/>
        </w:rPr>
      </w:pPr>
      <w:bookmarkStart w:id="217" w:name="_Toc216952248"/>
      <w:r w:rsidRPr="00232EBB">
        <w:rPr>
          <w:rFonts w:cs="Times New Roman"/>
          <w:spacing w:val="0"/>
          <w:sz w:val="24"/>
          <w:szCs w:val="24"/>
          <w:lang w:val="es-DO"/>
        </w:rPr>
        <w:t>Estadísticas de Desempeño de los procesos</w:t>
      </w:r>
      <w:bookmarkEnd w:id="217"/>
    </w:p>
    <w:p w14:paraId="2F422F53" w14:textId="0BF46D63" w:rsidR="003F04C7" w:rsidRPr="00232EBB" w:rsidRDefault="003F04C7" w:rsidP="00EE6326">
      <w:pPr>
        <w:spacing w:after="0" w:line="360" w:lineRule="auto"/>
        <w:jc w:val="both"/>
        <w:rPr>
          <w:lang w:val="es-ES"/>
        </w:rPr>
      </w:pPr>
      <w:r w:rsidRPr="00232EBB">
        <w:rPr>
          <w:lang w:val="es-ES"/>
        </w:rPr>
        <w:t xml:space="preserve">A lo largo del 2025 se registraron un total de 3,027 tickets atendidos, con un cumplimiento promedio de SLA del 95.7% en resolución y 4.98% de satisfacción en el servicio, </w:t>
      </w:r>
      <w:r w:rsidR="00C22D9A" w:rsidRPr="00232EBB">
        <w:rPr>
          <w:lang w:val="es-ES"/>
        </w:rPr>
        <w:t>de acuerdo con</w:t>
      </w:r>
      <w:r w:rsidRPr="00232EBB">
        <w:rPr>
          <w:lang w:val="es-ES"/>
        </w:rPr>
        <w:t xml:space="preserve"> la medición realizada. Este desempeño evidencia la consolidación del modelo de atención basado en ITIL y la alta satisfacción de los usuarios interno</w:t>
      </w:r>
      <w:r w:rsidR="008105FE" w:rsidRPr="00232EBB">
        <w:rPr>
          <w:lang w:val="es-ES"/>
        </w:rPr>
        <w:t>s, garantizando la continuidad operativa y la gestión oportuna de registros y novedades de los empleadores.</w:t>
      </w:r>
    </w:p>
    <w:p w14:paraId="191E580C" w14:textId="77777777" w:rsidR="003F04C7" w:rsidRPr="00232EBB" w:rsidRDefault="003F04C7" w:rsidP="00EE6326">
      <w:pPr>
        <w:spacing w:after="0" w:line="360" w:lineRule="auto"/>
        <w:jc w:val="both"/>
        <w:rPr>
          <w:lang w:val="es-ES"/>
        </w:rPr>
      </w:pPr>
    </w:p>
    <w:p w14:paraId="3C24967B" w14:textId="77777777" w:rsidR="003F04C7" w:rsidRPr="00232EBB" w:rsidRDefault="003F04C7" w:rsidP="00EE6326">
      <w:pPr>
        <w:spacing w:after="0" w:line="360" w:lineRule="auto"/>
        <w:jc w:val="both"/>
        <w:rPr>
          <w:lang w:val="es-ES"/>
        </w:rPr>
      </w:pPr>
      <w:r w:rsidRPr="00232EBB">
        <w:rPr>
          <w:lang w:val="es-ES"/>
        </w:rPr>
        <w:t>Asimismo, durante el período se realizaron mantenimientos correctivos y evolutivos, mejoras de seguridad, atención a incidencias y optimizaciones funcionales, fortaleciendo la estabilidad del sistema.</w:t>
      </w:r>
    </w:p>
    <w:p w14:paraId="3F7116BF" w14:textId="69C9C492" w:rsidR="00C22D9A" w:rsidRPr="00232EBB" w:rsidRDefault="00C22D9A" w:rsidP="00C22D9A">
      <w:pPr>
        <w:pStyle w:val="Heading1"/>
        <w:spacing w:after="240"/>
        <w:jc w:val="both"/>
        <w:rPr>
          <w:rFonts w:cs="Times New Roman"/>
          <w:spacing w:val="0"/>
          <w:sz w:val="24"/>
          <w:szCs w:val="24"/>
          <w:lang w:val="es-DO"/>
        </w:rPr>
      </w:pPr>
      <w:bookmarkStart w:id="218" w:name="_Toc216952249"/>
      <w:r w:rsidRPr="00232EBB">
        <w:rPr>
          <w:rFonts w:cs="Times New Roman"/>
          <w:spacing w:val="0"/>
          <w:sz w:val="24"/>
          <w:szCs w:val="24"/>
          <w:lang w:val="es-DO"/>
        </w:rPr>
        <w:t>Replicación de Ambientes y Procesos de Pruebas</w:t>
      </w:r>
      <w:bookmarkEnd w:id="218"/>
    </w:p>
    <w:p w14:paraId="5608560E" w14:textId="77777777" w:rsidR="00C22D9A" w:rsidRPr="00232EBB" w:rsidRDefault="00C22D9A" w:rsidP="00C22D9A">
      <w:pPr>
        <w:spacing w:after="0" w:line="360" w:lineRule="auto"/>
        <w:jc w:val="both"/>
        <w:rPr>
          <w:lang w:val="es-ES"/>
        </w:rPr>
      </w:pPr>
      <w:r w:rsidRPr="00232EBB">
        <w:rPr>
          <w:lang w:val="es-ES"/>
        </w:rPr>
        <w:t>Se habilitaron procesos de replicación controlada entre los ambientes de prueba y producción del sistema SUIR y su módulo de servicios externos. Esto permite validar despliegues con mayor seguridad y mitigar riesgos de interrupción.</w:t>
      </w:r>
    </w:p>
    <w:p w14:paraId="06A7B95C" w14:textId="7C87038E" w:rsidR="00C22D9A" w:rsidRPr="00232EBB" w:rsidRDefault="00C22D9A" w:rsidP="00C22D9A">
      <w:pPr>
        <w:pStyle w:val="Heading1"/>
        <w:spacing w:after="240"/>
        <w:jc w:val="both"/>
        <w:rPr>
          <w:rFonts w:cs="Times New Roman"/>
          <w:spacing w:val="0"/>
          <w:sz w:val="24"/>
          <w:szCs w:val="24"/>
          <w:lang w:val="es-DO"/>
        </w:rPr>
      </w:pPr>
      <w:bookmarkStart w:id="219" w:name="_Toc216952250"/>
      <w:r w:rsidRPr="00232EBB">
        <w:rPr>
          <w:rFonts w:cs="Times New Roman"/>
          <w:spacing w:val="0"/>
          <w:sz w:val="24"/>
          <w:szCs w:val="24"/>
          <w:lang w:val="es-DO"/>
        </w:rPr>
        <w:t>Nuevos Servicios en Línea</w:t>
      </w:r>
      <w:bookmarkEnd w:id="219"/>
      <w:r w:rsidRPr="00232EBB">
        <w:rPr>
          <w:rFonts w:cs="Times New Roman"/>
          <w:spacing w:val="0"/>
          <w:sz w:val="24"/>
          <w:szCs w:val="24"/>
          <w:lang w:val="es-DO"/>
        </w:rPr>
        <w:t xml:space="preserve"> </w:t>
      </w:r>
    </w:p>
    <w:p w14:paraId="749E6BB1" w14:textId="77777777" w:rsidR="00C22D9A" w:rsidRPr="00232EBB" w:rsidRDefault="00C22D9A" w:rsidP="00EE6326">
      <w:pPr>
        <w:spacing w:line="360" w:lineRule="auto"/>
        <w:jc w:val="both"/>
        <w:rPr>
          <w:lang w:val="es-ES"/>
        </w:rPr>
      </w:pPr>
      <w:r w:rsidRPr="00232EBB">
        <w:rPr>
          <w:lang w:val="es-ES"/>
        </w:rPr>
        <w:t xml:space="preserve">En línea con la modernización institucional, la nueva página web de la TSS, denominada "Servicios", fue diseñada no solo como un portal informativo, sino como una verdadera plataforma de trámites </w:t>
      </w:r>
      <w:r w:rsidRPr="00232EBB">
        <w:rPr>
          <w:lang w:val="es-ES"/>
        </w:rPr>
        <w:lastRenderedPageBreak/>
        <w:t>en línea, permitiendo al empleador gestionar procesos clave sin necesidad de trasladarse físicamente a la institución.</w:t>
      </w:r>
    </w:p>
    <w:p w14:paraId="2FB86382" w14:textId="77777777" w:rsidR="00C22D9A" w:rsidRPr="00232EBB" w:rsidRDefault="00C22D9A" w:rsidP="00EE6326">
      <w:pPr>
        <w:spacing w:line="360" w:lineRule="auto"/>
        <w:jc w:val="both"/>
        <w:rPr>
          <w:lang w:val="es-ES"/>
        </w:rPr>
      </w:pPr>
      <w:r w:rsidRPr="00232EBB">
        <w:rPr>
          <w:lang w:val="es-ES"/>
        </w:rPr>
        <w:t>Entre las funcionalidades más destacadas se encuentra la habilitación de servicios críticos como el registro de nuevos empleadores y la solicitud de acuerdos de pago, todo de forma 100% digital. Estos servicios incorporan mecanismos de trazabilidad para que el usuario pueda consultar el estado de su solicitud en todo momento, generando mayor transparencia, eficiencia y confianza.</w:t>
      </w:r>
    </w:p>
    <w:p w14:paraId="3899763A" w14:textId="77777777" w:rsidR="00C22D9A" w:rsidRPr="00232EBB" w:rsidRDefault="00C22D9A" w:rsidP="00EE6326">
      <w:pPr>
        <w:spacing w:line="360" w:lineRule="auto"/>
        <w:jc w:val="both"/>
        <w:rPr>
          <w:lang w:val="es-ES"/>
        </w:rPr>
      </w:pPr>
      <w:r w:rsidRPr="00232EBB">
        <w:rPr>
          <w:lang w:val="es-ES"/>
        </w:rPr>
        <w:t>La experiencia del usuario también se ha enriquecido con un diseño intuitivo y adaptado a dispositivos móviles, permitiendo el acceso desde cualquier lugar. El uso de filtros inteligentes y el enfoque en trámites prioritarios simplifican la navegación, y se han incluido notificaciones automáticas que alertan sobre el estado de los procesos iniciados.</w:t>
      </w:r>
    </w:p>
    <w:p w14:paraId="6AFDC59B" w14:textId="77777777" w:rsidR="00C22D9A" w:rsidRPr="00232EBB" w:rsidRDefault="00C22D9A" w:rsidP="00EE6326">
      <w:pPr>
        <w:spacing w:line="360" w:lineRule="auto"/>
        <w:jc w:val="both"/>
        <w:rPr>
          <w:lang w:val="es-ES"/>
        </w:rPr>
      </w:pPr>
      <w:r w:rsidRPr="00232EBB">
        <w:rPr>
          <w:lang w:val="es-ES"/>
        </w:rPr>
        <w:t>Este nuevo portal refleja el compromiso de la TSS con la transformación digital del Estado, ofreciendo servicios accesibles, seguros y orientados a las necesidades reales de los usuarios. Su implementación consolida a la TSS como una institución pionera en gobierno digital en la República Dominicana</w:t>
      </w:r>
    </w:p>
    <w:p w14:paraId="2EF22E33" w14:textId="77777777" w:rsidR="00C22D9A" w:rsidRPr="00232EBB" w:rsidRDefault="00C22D9A" w:rsidP="00C22D9A">
      <w:pPr>
        <w:pStyle w:val="Heading1"/>
        <w:spacing w:after="240"/>
        <w:jc w:val="both"/>
        <w:rPr>
          <w:rFonts w:cs="Times New Roman"/>
          <w:spacing w:val="0"/>
          <w:sz w:val="24"/>
          <w:szCs w:val="24"/>
          <w:lang w:val="es-DO"/>
        </w:rPr>
      </w:pPr>
      <w:bookmarkStart w:id="220" w:name="_Toc216952251"/>
      <w:r w:rsidRPr="00232EBB">
        <w:rPr>
          <w:rFonts w:cs="Times New Roman"/>
          <w:spacing w:val="0"/>
          <w:sz w:val="24"/>
          <w:szCs w:val="24"/>
          <w:lang w:val="es-DO"/>
        </w:rPr>
        <w:t>10. Análisis Estadístico y Gestión de Información Institucional</w:t>
      </w:r>
      <w:bookmarkEnd w:id="220"/>
    </w:p>
    <w:p w14:paraId="1BE32A1B" w14:textId="77777777" w:rsidR="00C22D9A" w:rsidRPr="00232EBB" w:rsidRDefault="00C22D9A" w:rsidP="00C22D9A">
      <w:pPr>
        <w:spacing w:after="0" w:line="360" w:lineRule="auto"/>
        <w:jc w:val="both"/>
        <w:rPr>
          <w:lang w:val="es-ES"/>
        </w:rPr>
      </w:pPr>
      <w:r w:rsidRPr="00232EBB">
        <w:rPr>
          <w:lang w:val="es-ES"/>
        </w:rPr>
        <w:t>Durante el año 2025 se registraron importantes avances que fortalecen la analítica institucional y la explotación eficiente de datos:</w:t>
      </w:r>
    </w:p>
    <w:p w14:paraId="74D2FD89" w14:textId="77777777" w:rsidR="00C22D9A" w:rsidRPr="00232EBB" w:rsidRDefault="00C22D9A" w:rsidP="000E2299">
      <w:pPr>
        <w:pStyle w:val="ListParagraph"/>
        <w:numPr>
          <w:ilvl w:val="0"/>
          <w:numId w:val="40"/>
        </w:numPr>
        <w:tabs>
          <w:tab w:val="num" w:pos="720"/>
        </w:tabs>
        <w:spacing w:after="0" w:line="360" w:lineRule="auto"/>
        <w:rPr>
          <w:rFonts w:ascii="Times New Roman" w:eastAsiaTheme="minorHAnsi" w:hAnsi="Times New Roman"/>
          <w:color w:val="767171"/>
          <w:spacing w:val="20"/>
          <w:sz w:val="24"/>
          <w:szCs w:val="24"/>
          <w:lang w:val="es-ES"/>
        </w:rPr>
      </w:pPr>
      <w:bookmarkStart w:id="221" w:name="_Hlk216944087"/>
      <w:r w:rsidRPr="00232EBB">
        <w:rPr>
          <w:rFonts w:ascii="Times New Roman" w:eastAsiaTheme="minorHAnsi" w:hAnsi="Times New Roman"/>
          <w:color w:val="767171"/>
          <w:spacing w:val="20"/>
          <w:sz w:val="24"/>
          <w:szCs w:val="24"/>
          <w:lang w:val="es-ES"/>
        </w:rPr>
        <w:t>Implementación y optimización de pipelines de datos para extracción, transformación y carga (ETL).</w:t>
      </w:r>
    </w:p>
    <w:p w14:paraId="5D5565A8" w14:textId="77777777" w:rsidR="00C22D9A" w:rsidRPr="00232EBB" w:rsidRDefault="00C22D9A" w:rsidP="000E2299">
      <w:pPr>
        <w:pStyle w:val="ListParagraph"/>
        <w:numPr>
          <w:ilvl w:val="0"/>
          <w:numId w:val="40"/>
        </w:numPr>
        <w:tabs>
          <w:tab w:val="num" w:pos="720"/>
        </w:tabs>
        <w:spacing w:after="0" w:line="360" w:lineRule="auto"/>
        <w:rPr>
          <w:rFonts w:ascii="Times New Roman" w:eastAsiaTheme="minorHAnsi" w:hAnsi="Times New Roman"/>
          <w:color w:val="767171"/>
          <w:spacing w:val="20"/>
          <w:sz w:val="24"/>
          <w:szCs w:val="24"/>
          <w:lang w:val="es-ES"/>
        </w:rPr>
      </w:pPr>
      <w:r w:rsidRPr="00232EBB">
        <w:rPr>
          <w:rFonts w:ascii="Times New Roman" w:eastAsiaTheme="minorHAnsi" w:hAnsi="Times New Roman"/>
          <w:color w:val="767171"/>
          <w:spacing w:val="20"/>
          <w:sz w:val="24"/>
          <w:szCs w:val="24"/>
          <w:lang w:val="es-ES"/>
        </w:rPr>
        <w:t>Integración del modelo predictivo de morosidad para apoyo en la gestión de cobros.</w:t>
      </w:r>
    </w:p>
    <w:p w14:paraId="3029C5A9" w14:textId="77777777" w:rsidR="00C22D9A" w:rsidRPr="00232EBB" w:rsidRDefault="00C22D9A" w:rsidP="000E2299">
      <w:pPr>
        <w:pStyle w:val="ListParagraph"/>
        <w:numPr>
          <w:ilvl w:val="0"/>
          <w:numId w:val="40"/>
        </w:numPr>
        <w:tabs>
          <w:tab w:val="num" w:pos="720"/>
        </w:tabs>
        <w:spacing w:after="0" w:line="360" w:lineRule="auto"/>
        <w:rPr>
          <w:rFonts w:ascii="Times New Roman" w:eastAsiaTheme="minorHAnsi" w:hAnsi="Times New Roman"/>
          <w:color w:val="767171"/>
          <w:spacing w:val="20"/>
          <w:sz w:val="24"/>
          <w:szCs w:val="24"/>
          <w:lang w:val="es-ES"/>
        </w:rPr>
      </w:pPr>
      <w:r w:rsidRPr="00232EBB">
        <w:rPr>
          <w:rFonts w:ascii="Times New Roman" w:eastAsiaTheme="minorHAnsi" w:hAnsi="Times New Roman"/>
          <w:color w:val="767171"/>
          <w:spacing w:val="20"/>
          <w:sz w:val="24"/>
          <w:szCs w:val="24"/>
          <w:lang w:val="es-ES"/>
        </w:rPr>
        <w:t>Creación del Dashboard de la Plataforma de Servicios en Línea.</w:t>
      </w:r>
    </w:p>
    <w:p w14:paraId="4D909FE3" w14:textId="77777777" w:rsidR="00C22D9A" w:rsidRPr="00232EBB" w:rsidRDefault="00C22D9A" w:rsidP="000E2299">
      <w:pPr>
        <w:pStyle w:val="ListParagraph"/>
        <w:numPr>
          <w:ilvl w:val="0"/>
          <w:numId w:val="40"/>
        </w:numPr>
        <w:tabs>
          <w:tab w:val="num" w:pos="720"/>
        </w:tabs>
        <w:spacing w:after="0" w:line="360" w:lineRule="auto"/>
        <w:rPr>
          <w:rFonts w:ascii="Times New Roman" w:eastAsiaTheme="minorHAnsi" w:hAnsi="Times New Roman"/>
          <w:color w:val="767171"/>
          <w:spacing w:val="20"/>
          <w:sz w:val="24"/>
          <w:szCs w:val="24"/>
          <w:lang w:val="es-ES"/>
        </w:rPr>
      </w:pPr>
      <w:r w:rsidRPr="00232EBB">
        <w:rPr>
          <w:rFonts w:ascii="Times New Roman" w:eastAsiaTheme="minorHAnsi" w:hAnsi="Times New Roman"/>
          <w:color w:val="767171"/>
          <w:spacing w:val="20"/>
          <w:sz w:val="24"/>
          <w:szCs w:val="24"/>
          <w:lang w:val="es-ES"/>
        </w:rPr>
        <w:lastRenderedPageBreak/>
        <w:t>Optimización del informe Panorama y Generalidades de la Cuenta Cuidado de la Salud V3.</w:t>
      </w:r>
    </w:p>
    <w:p w14:paraId="4052A9D9" w14:textId="12CD4ED7" w:rsidR="00C22D9A" w:rsidRPr="00232EBB" w:rsidRDefault="00C22D9A" w:rsidP="000E2299">
      <w:pPr>
        <w:pStyle w:val="ListParagraph"/>
        <w:numPr>
          <w:ilvl w:val="0"/>
          <w:numId w:val="40"/>
        </w:numPr>
        <w:tabs>
          <w:tab w:val="num" w:pos="720"/>
        </w:tabs>
        <w:spacing w:after="0" w:line="360" w:lineRule="auto"/>
        <w:rPr>
          <w:rFonts w:ascii="Times New Roman" w:eastAsiaTheme="minorHAnsi" w:hAnsi="Times New Roman"/>
          <w:color w:val="767171"/>
          <w:spacing w:val="20"/>
          <w:sz w:val="24"/>
          <w:szCs w:val="24"/>
          <w:lang w:val="es-ES"/>
        </w:rPr>
      </w:pPr>
      <w:r w:rsidRPr="00232EBB">
        <w:rPr>
          <w:rFonts w:ascii="Times New Roman" w:eastAsiaTheme="minorHAnsi" w:hAnsi="Times New Roman"/>
          <w:color w:val="767171"/>
          <w:spacing w:val="20"/>
          <w:sz w:val="24"/>
          <w:szCs w:val="24"/>
          <w:lang w:val="es-ES"/>
        </w:rPr>
        <w:t>Automatización de l</w:t>
      </w:r>
      <w:r w:rsidR="008105FE" w:rsidRPr="00232EBB">
        <w:rPr>
          <w:rFonts w:ascii="Times New Roman" w:eastAsiaTheme="minorHAnsi" w:hAnsi="Times New Roman"/>
          <w:color w:val="767171"/>
          <w:spacing w:val="20"/>
          <w:sz w:val="24"/>
          <w:szCs w:val="24"/>
          <w:lang w:val="es-ES"/>
        </w:rPr>
        <w:t>o</w:t>
      </w:r>
      <w:r w:rsidRPr="00232EBB">
        <w:rPr>
          <w:rFonts w:ascii="Times New Roman" w:eastAsiaTheme="minorHAnsi" w:hAnsi="Times New Roman"/>
          <w:color w:val="767171"/>
          <w:spacing w:val="20"/>
          <w:sz w:val="24"/>
          <w:szCs w:val="24"/>
          <w:lang w:val="es-ES"/>
        </w:rPr>
        <w:t>s boletin</w:t>
      </w:r>
      <w:r w:rsidR="008105FE" w:rsidRPr="00232EBB">
        <w:rPr>
          <w:rFonts w:ascii="Times New Roman" w:eastAsiaTheme="minorHAnsi" w:hAnsi="Times New Roman"/>
          <w:color w:val="767171"/>
          <w:spacing w:val="20"/>
          <w:sz w:val="24"/>
          <w:szCs w:val="24"/>
          <w:lang w:val="es-ES"/>
        </w:rPr>
        <w:t>es</w:t>
      </w:r>
      <w:r w:rsidRPr="00232EBB">
        <w:rPr>
          <w:rFonts w:ascii="Times New Roman" w:eastAsiaTheme="minorHAnsi" w:hAnsi="Times New Roman"/>
          <w:color w:val="767171"/>
          <w:spacing w:val="20"/>
          <w:sz w:val="24"/>
          <w:szCs w:val="24"/>
          <w:lang w:val="es-ES"/>
        </w:rPr>
        <w:t xml:space="preserve"> de datos estadísticos del SDSS.</w:t>
      </w:r>
    </w:p>
    <w:p w14:paraId="3E4AB044" w14:textId="77777777" w:rsidR="00C22D9A" w:rsidRPr="00232EBB" w:rsidRDefault="00C22D9A" w:rsidP="000E2299">
      <w:pPr>
        <w:pStyle w:val="ListParagraph"/>
        <w:numPr>
          <w:ilvl w:val="0"/>
          <w:numId w:val="40"/>
        </w:numPr>
        <w:tabs>
          <w:tab w:val="num" w:pos="720"/>
        </w:tabs>
        <w:spacing w:after="0" w:line="360" w:lineRule="auto"/>
        <w:rPr>
          <w:rFonts w:ascii="Times New Roman" w:eastAsiaTheme="minorHAnsi" w:hAnsi="Times New Roman"/>
          <w:color w:val="767171"/>
          <w:spacing w:val="20"/>
          <w:sz w:val="24"/>
          <w:szCs w:val="24"/>
          <w:lang w:val="es-ES"/>
        </w:rPr>
      </w:pPr>
      <w:r w:rsidRPr="00232EBB">
        <w:rPr>
          <w:rFonts w:ascii="Times New Roman" w:eastAsiaTheme="minorHAnsi" w:hAnsi="Times New Roman"/>
          <w:color w:val="767171"/>
          <w:spacing w:val="20"/>
          <w:sz w:val="24"/>
          <w:szCs w:val="24"/>
          <w:lang w:val="es-ES"/>
        </w:rPr>
        <w:t>Optimización del Dashboard Tablero de Indicadores TSS.</w:t>
      </w:r>
    </w:p>
    <w:p w14:paraId="5258F0A7" w14:textId="77777777" w:rsidR="00C22D9A" w:rsidRPr="00232EBB" w:rsidRDefault="00C22D9A" w:rsidP="00EE6326">
      <w:pPr>
        <w:pStyle w:val="ListParagraph"/>
        <w:numPr>
          <w:ilvl w:val="0"/>
          <w:numId w:val="40"/>
        </w:numPr>
        <w:tabs>
          <w:tab w:val="num" w:pos="720"/>
        </w:tabs>
        <w:spacing w:line="360" w:lineRule="auto"/>
        <w:rPr>
          <w:rFonts w:ascii="Times New Roman" w:eastAsiaTheme="minorHAnsi" w:hAnsi="Times New Roman"/>
          <w:color w:val="767171"/>
          <w:spacing w:val="20"/>
          <w:sz w:val="24"/>
          <w:szCs w:val="24"/>
          <w:lang w:val="es-ES"/>
        </w:rPr>
      </w:pPr>
      <w:r w:rsidRPr="00232EBB">
        <w:rPr>
          <w:rFonts w:ascii="Times New Roman" w:eastAsiaTheme="minorHAnsi" w:hAnsi="Times New Roman"/>
          <w:color w:val="767171"/>
          <w:spacing w:val="20"/>
          <w:sz w:val="24"/>
          <w:szCs w:val="24"/>
          <w:lang w:val="es-ES"/>
        </w:rPr>
        <w:t>Creación del Dashboard de Porcentaje de Pago de NPs.</w:t>
      </w:r>
    </w:p>
    <w:bookmarkEnd w:id="221"/>
    <w:p w14:paraId="3915093D" w14:textId="34493C48" w:rsidR="00C22D9A" w:rsidRPr="00232EBB" w:rsidRDefault="00C22D9A" w:rsidP="001C0F69">
      <w:pPr>
        <w:spacing w:line="360" w:lineRule="auto"/>
        <w:jc w:val="both"/>
        <w:rPr>
          <w:lang w:val="es-ES"/>
        </w:rPr>
      </w:pPr>
      <w:r w:rsidRPr="00232EBB">
        <w:rPr>
          <w:lang w:val="es-ES"/>
        </w:rPr>
        <w:t>Estos logros fortalecen la capacidad de análisis institucional, mejoran la disponibilidad de información estratégica y permiten una toma de decisiones más oportuna.</w:t>
      </w:r>
    </w:p>
    <w:p w14:paraId="77104971" w14:textId="77777777" w:rsidR="00C22D9A" w:rsidRPr="00232EBB" w:rsidRDefault="00C22D9A" w:rsidP="00EE6326">
      <w:pPr>
        <w:pStyle w:val="ListParagraph"/>
        <w:numPr>
          <w:ilvl w:val="0"/>
          <w:numId w:val="41"/>
        </w:numPr>
        <w:tabs>
          <w:tab w:val="num" w:pos="720"/>
        </w:tabs>
        <w:spacing w:line="360" w:lineRule="auto"/>
        <w:rPr>
          <w:rFonts w:ascii="Times New Roman" w:eastAsiaTheme="minorHAnsi" w:hAnsi="Times New Roman"/>
          <w:color w:val="767171"/>
          <w:spacing w:val="20"/>
          <w:sz w:val="24"/>
          <w:szCs w:val="24"/>
          <w:lang w:val="es-ES"/>
        </w:rPr>
      </w:pPr>
      <w:r w:rsidRPr="00232EBB">
        <w:rPr>
          <w:rFonts w:ascii="Times New Roman" w:eastAsiaTheme="minorHAnsi" w:hAnsi="Times New Roman"/>
          <w:color w:val="767171"/>
          <w:spacing w:val="20"/>
          <w:sz w:val="24"/>
          <w:szCs w:val="24"/>
          <w:lang w:val="es-ES"/>
        </w:rPr>
        <w:t>Se publicaron informes estadísticos y estudios relevantes como el de los Determinantes de la Recaudación.</w:t>
      </w:r>
    </w:p>
    <w:p w14:paraId="46DE5D8D" w14:textId="77777777" w:rsidR="00C22D9A" w:rsidRPr="00232EBB" w:rsidRDefault="00C22D9A" w:rsidP="000E2299">
      <w:pPr>
        <w:pStyle w:val="ListParagraph"/>
        <w:numPr>
          <w:ilvl w:val="0"/>
          <w:numId w:val="41"/>
        </w:numPr>
        <w:tabs>
          <w:tab w:val="num" w:pos="720"/>
        </w:tabs>
        <w:spacing w:after="0" w:line="360" w:lineRule="auto"/>
        <w:rPr>
          <w:rFonts w:ascii="Times New Roman" w:eastAsiaTheme="minorHAnsi" w:hAnsi="Times New Roman"/>
          <w:color w:val="767171"/>
          <w:spacing w:val="20"/>
          <w:sz w:val="24"/>
          <w:szCs w:val="24"/>
          <w:lang w:val="es-ES"/>
        </w:rPr>
      </w:pPr>
      <w:r w:rsidRPr="00232EBB">
        <w:rPr>
          <w:rFonts w:ascii="Times New Roman" w:eastAsiaTheme="minorHAnsi" w:hAnsi="Times New Roman"/>
          <w:color w:val="767171"/>
          <w:spacing w:val="20"/>
          <w:sz w:val="24"/>
          <w:szCs w:val="24"/>
          <w:lang w:val="es-ES"/>
        </w:rPr>
        <w:t>La TSS fue reconocida en medios nacionales por su labor en el manejo financiero de la seguridad social.</w:t>
      </w:r>
    </w:p>
    <w:p w14:paraId="5BB7BA78" w14:textId="28BBA6D5" w:rsidR="00C22D9A" w:rsidRPr="00232EBB" w:rsidRDefault="00C22D9A" w:rsidP="000E2299">
      <w:pPr>
        <w:pStyle w:val="ListParagraph"/>
        <w:numPr>
          <w:ilvl w:val="0"/>
          <w:numId w:val="41"/>
        </w:numPr>
        <w:tabs>
          <w:tab w:val="num" w:pos="720"/>
        </w:tabs>
        <w:spacing w:after="0" w:line="360" w:lineRule="auto"/>
        <w:rPr>
          <w:rFonts w:ascii="Times New Roman" w:eastAsiaTheme="minorHAnsi" w:hAnsi="Times New Roman"/>
          <w:color w:val="767171"/>
          <w:spacing w:val="20"/>
          <w:sz w:val="24"/>
          <w:szCs w:val="24"/>
          <w:lang w:val="es-ES"/>
        </w:rPr>
      </w:pPr>
      <w:r w:rsidRPr="00232EBB">
        <w:rPr>
          <w:rFonts w:ascii="Times New Roman" w:eastAsiaTheme="minorHAnsi" w:hAnsi="Times New Roman"/>
          <w:color w:val="767171"/>
          <w:spacing w:val="20"/>
          <w:sz w:val="24"/>
          <w:szCs w:val="24"/>
          <w:lang w:val="es-ES"/>
        </w:rPr>
        <w:t>Las informaciones publicadas sirvieron como referencia para la publicación de artículos en n los periódicos, debajo los links de estas publicaciones.</w:t>
      </w:r>
    </w:p>
    <w:p w14:paraId="32797C0A" w14:textId="77777777" w:rsidR="00C22D9A" w:rsidRPr="00232EBB" w:rsidRDefault="00C22D9A" w:rsidP="000E2299">
      <w:pPr>
        <w:pStyle w:val="ListParagraph"/>
        <w:numPr>
          <w:ilvl w:val="0"/>
          <w:numId w:val="41"/>
        </w:numPr>
        <w:tabs>
          <w:tab w:val="num" w:pos="1440"/>
        </w:tabs>
        <w:spacing w:after="0" w:line="360" w:lineRule="auto"/>
        <w:rPr>
          <w:rFonts w:ascii="Times New Roman" w:eastAsiaTheme="minorHAnsi" w:hAnsi="Times New Roman"/>
          <w:color w:val="767171"/>
          <w:spacing w:val="20"/>
          <w:sz w:val="24"/>
          <w:szCs w:val="24"/>
          <w:lang w:val="es-ES"/>
        </w:rPr>
      </w:pPr>
      <w:hyperlink r:id="rId48" w:tgtFrame="_blank" w:tooltip="https://eldinero.com.do/321852/sector-publico-evita-deficit-de-cuenta-de-salud-en-la-tss/" w:history="1">
        <w:r w:rsidRPr="00232EBB">
          <w:rPr>
            <w:rFonts w:ascii="Times New Roman" w:eastAsiaTheme="minorHAnsi" w:hAnsi="Times New Roman"/>
            <w:color w:val="767171"/>
            <w:spacing w:val="20"/>
            <w:sz w:val="24"/>
            <w:szCs w:val="24"/>
            <w:lang w:val="es-ES"/>
          </w:rPr>
          <w:t>Sector público evita déficit de cuenta de salud en la TSS</w:t>
        </w:r>
      </w:hyperlink>
    </w:p>
    <w:p w14:paraId="79985B6E" w14:textId="77777777" w:rsidR="00C22D9A" w:rsidRPr="00232EBB" w:rsidRDefault="00C22D9A" w:rsidP="000E2299">
      <w:pPr>
        <w:pStyle w:val="ListParagraph"/>
        <w:numPr>
          <w:ilvl w:val="0"/>
          <w:numId w:val="41"/>
        </w:numPr>
        <w:tabs>
          <w:tab w:val="num" w:pos="1440"/>
        </w:tabs>
        <w:spacing w:after="0" w:line="360" w:lineRule="auto"/>
        <w:rPr>
          <w:rFonts w:ascii="Times New Roman" w:eastAsiaTheme="minorHAnsi" w:hAnsi="Times New Roman"/>
          <w:color w:val="767171"/>
          <w:spacing w:val="20"/>
          <w:sz w:val="24"/>
          <w:szCs w:val="24"/>
          <w:lang w:val="es-ES"/>
        </w:rPr>
      </w:pPr>
      <w:hyperlink r:id="rId49" w:history="1">
        <w:r w:rsidRPr="00232EBB">
          <w:rPr>
            <w:rFonts w:ascii="Times New Roman" w:eastAsiaTheme="minorHAnsi" w:hAnsi="Times New Roman"/>
            <w:color w:val="767171"/>
            <w:spacing w:val="20"/>
            <w:sz w:val="24"/>
            <w:szCs w:val="24"/>
            <w:lang w:val="es-ES"/>
          </w:rPr>
          <w:t>Seguridad Social: La TSS, el gigante recaudador</w:t>
        </w:r>
      </w:hyperlink>
    </w:p>
    <w:p w14:paraId="64F875F5" w14:textId="77777777" w:rsidR="00C22D9A" w:rsidRPr="00232EBB" w:rsidRDefault="00C22D9A" w:rsidP="000E2299">
      <w:pPr>
        <w:pStyle w:val="ListParagraph"/>
        <w:numPr>
          <w:ilvl w:val="0"/>
          <w:numId w:val="41"/>
        </w:numPr>
        <w:tabs>
          <w:tab w:val="num" w:pos="720"/>
        </w:tabs>
        <w:spacing w:after="0" w:line="360" w:lineRule="auto"/>
        <w:rPr>
          <w:rFonts w:ascii="Times New Roman" w:eastAsiaTheme="minorHAnsi" w:hAnsi="Times New Roman"/>
          <w:color w:val="767171"/>
          <w:spacing w:val="20"/>
          <w:sz w:val="24"/>
          <w:szCs w:val="24"/>
          <w:lang w:val="es-ES"/>
        </w:rPr>
      </w:pPr>
      <w:r w:rsidRPr="00232EBB">
        <w:rPr>
          <w:rFonts w:ascii="Times New Roman" w:eastAsiaTheme="minorHAnsi" w:hAnsi="Times New Roman"/>
          <w:color w:val="767171"/>
          <w:spacing w:val="20"/>
          <w:sz w:val="24"/>
          <w:szCs w:val="24"/>
          <w:lang w:val="es-ES"/>
        </w:rPr>
        <w:t>Se obtuvo la recertificación en la norma NORTIC E1.</w:t>
      </w:r>
    </w:p>
    <w:p w14:paraId="611D13F8" w14:textId="77777777" w:rsidR="00871FDE" w:rsidRPr="00232EBB" w:rsidRDefault="00871FDE" w:rsidP="00871FDE">
      <w:pPr>
        <w:pStyle w:val="ListParagraph"/>
        <w:spacing w:after="0" w:line="360" w:lineRule="auto"/>
        <w:ind w:firstLine="0"/>
        <w:rPr>
          <w:rFonts w:ascii="Times New Roman" w:eastAsiaTheme="minorHAnsi" w:hAnsi="Times New Roman"/>
          <w:color w:val="767171"/>
          <w:spacing w:val="20"/>
          <w:sz w:val="24"/>
          <w:szCs w:val="24"/>
          <w:lang w:val="es-ES"/>
        </w:rPr>
      </w:pPr>
    </w:p>
    <w:p w14:paraId="0C0C4E7A" w14:textId="3D28DC9E" w:rsidR="00490DE2" w:rsidRPr="00232EBB" w:rsidRDefault="00490DE2" w:rsidP="001C0F69">
      <w:pPr>
        <w:pStyle w:val="Heading1"/>
        <w:spacing w:before="0" w:after="240"/>
        <w:jc w:val="both"/>
        <w:rPr>
          <w:rFonts w:cs="Times New Roman"/>
          <w:spacing w:val="0"/>
          <w:sz w:val="24"/>
          <w:szCs w:val="24"/>
          <w:lang w:val="es-DO"/>
        </w:rPr>
      </w:pPr>
      <w:bookmarkStart w:id="222" w:name="_Toc216952252"/>
      <w:r w:rsidRPr="00232EBB">
        <w:rPr>
          <w:rFonts w:cs="Times New Roman"/>
          <w:spacing w:val="0"/>
          <w:sz w:val="24"/>
          <w:szCs w:val="24"/>
          <w:lang w:val="es-DO"/>
        </w:rPr>
        <w:t>Resultados obtenidos en el Índice de Uso de TIC e Implementación de Gobierno Electrónico (ITICGE) durante el año y justificación en caso de incumplimiento</w:t>
      </w:r>
      <w:bookmarkEnd w:id="204"/>
      <w:bookmarkEnd w:id="205"/>
      <w:bookmarkEnd w:id="206"/>
      <w:bookmarkEnd w:id="207"/>
      <w:bookmarkEnd w:id="208"/>
      <w:r w:rsidR="00B07950" w:rsidRPr="00232EBB">
        <w:rPr>
          <w:rFonts w:cs="Times New Roman"/>
          <w:spacing w:val="0"/>
          <w:sz w:val="24"/>
          <w:szCs w:val="24"/>
          <w:lang w:val="es-DO"/>
        </w:rPr>
        <w:t>.</w:t>
      </w:r>
      <w:bookmarkEnd w:id="222"/>
    </w:p>
    <w:p w14:paraId="4F2B5192" w14:textId="17F77FF5" w:rsidR="00490DE2" w:rsidRPr="00232EBB" w:rsidRDefault="00490DE2" w:rsidP="001C0F69">
      <w:pPr>
        <w:spacing w:line="360" w:lineRule="auto"/>
        <w:jc w:val="both"/>
        <w:rPr>
          <w:lang w:val="es-ES"/>
        </w:rPr>
      </w:pPr>
      <w:r w:rsidRPr="00232EBB">
        <w:rPr>
          <w:lang w:val="es-ES"/>
        </w:rPr>
        <w:t>Se ha logrado un notable avance en el indicador del SISTICGE, la herramienta de medición que evalúa el progreso de la implementación de las TIC, el e-Gobierno, Gobierno Abierto, e-Participación y los Servicios en Línea en el Estado Dominicano.</w:t>
      </w:r>
    </w:p>
    <w:p w14:paraId="7AF8B76E" w14:textId="77777777" w:rsidR="003F04C7" w:rsidRPr="00232EBB" w:rsidRDefault="003F04C7" w:rsidP="001C0F69">
      <w:pPr>
        <w:spacing w:line="360" w:lineRule="auto"/>
        <w:jc w:val="both"/>
        <w:rPr>
          <w:lang w:val="es-ES"/>
        </w:rPr>
      </w:pPr>
      <w:r w:rsidRPr="00232EBB">
        <w:rPr>
          <w:lang w:val="es-ES"/>
        </w:rPr>
        <w:t xml:space="preserve">La institución logró un avance significativo en el cumplimiento del SISTICGE, elevando su puntuación a 74.19%, lo que permitió pasar del puesto 27 al puesto 21 en el ranking nacional. Este resultado </w:t>
      </w:r>
      <w:r w:rsidRPr="00232EBB">
        <w:rPr>
          <w:lang w:val="es-ES"/>
        </w:rPr>
        <w:lastRenderedPageBreak/>
        <w:t>evidencia el fortalecimiento de los controles internos, la gestión documental y el cumplimiento de estándares gubernamentales.</w:t>
      </w:r>
    </w:p>
    <w:tbl>
      <w:tblPr>
        <w:tblStyle w:val="TableGrid"/>
        <w:tblpPr w:leftFromText="141" w:rightFromText="141" w:vertAnchor="page" w:horzAnchor="margin" w:tblpY="10877"/>
        <w:tblW w:w="7560" w:type="dxa"/>
        <w:tblLook w:val="04A0" w:firstRow="1" w:lastRow="0" w:firstColumn="1" w:lastColumn="0" w:noHBand="0" w:noVBand="1"/>
      </w:tblPr>
      <w:tblGrid>
        <w:gridCol w:w="3955"/>
        <w:gridCol w:w="2025"/>
        <w:gridCol w:w="1580"/>
      </w:tblGrid>
      <w:tr w:rsidR="00DD7973" w:rsidRPr="00232EBB" w14:paraId="3A716773" w14:textId="77777777" w:rsidTr="00DD7973">
        <w:trPr>
          <w:trHeight w:val="347"/>
          <w:tblHeader/>
        </w:trPr>
        <w:tc>
          <w:tcPr>
            <w:tcW w:w="7560" w:type="dxa"/>
            <w:gridSpan w:val="3"/>
            <w:shd w:val="clear" w:color="auto" w:fill="1F3864" w:themeFill="accent1" w:themeFillShade="80"/>
          </w:tcPr>
          <w:p w14:paraId="01266EB3" w14:textId="77777777" w:rsidR="00DD7973" w:rsidRPr="00232EBB" w:rsidRDefault="00DD7973" w:rsidP="00DD7973">
            <w:pPr>
              <w:pStyle w:val="xxmsonormal"/>
              <w:spacing w:line="360" w:lineRule="auto"/>
              <w:jc w:val="center"/>
              <w:rPr>
                <w:rFonts w:ascii="Times New Roman" w:hAnsi="Times New Roman" w:cs="Times New Roman"/>
                <w:b/>
                <w:bCs/>
                <w:color w:val="FFFFFF" w:themeColor="background1"/>
                <w:lang w:val="es-ES"/>
              </w:rPr>
            </w:pPr>
            <w:bookmarkStart w:id="223" w:name="_Hlk171503917"/>
            <w:bookmarkStart w:id="224" w:name="_Hlk152923439"/>
            <w:bookmarkStart w:id="225" w:name="_Toc171677867"/>
            <w:bookmarkStart w:id="226" w:name="_Toc172119874"/>
            <w:bookmarkStart w:id="227" w:name="_Toc172120207"/>
            <w:bookmarkStart w:id="228" w:name="_Toc172121425"/>
            <w:r w:rsidRPr="00232EBB">
              <w:rPr>
                <w:rFonts w:ascii="Times New Roman" w:eastAsia="Calibri" w:hAnsi="Times New Roman" w:cs="Times New Roman"/>
                <w:b/>
                <w:bCs/>
                <w:noProof/>
                <w:color w:val="FFFFFF" w:themeColor="background1"/>
                <w:spacing w:val="20"/>
              </w:rPr>
              <w:t>Indicador Sisticge</w:t>
            </w:r>
          </w:p>
        </w:tc>
      </w:tr>
      <w:tr w:rsidR="00DD7973" w:rsidRPr="00232EBB" w14:paraId="551AC3F6" w14:textId="77777777" w:rsidTr="00DD7973">
        <w:trPr>
          <w:trHeight w:val="230"/>
          <w:tblHeader/>
        </w:trPr>
        <w:tc>
          <w:tcPr>
            <w:tcW w:w="3955" w:type="dxa"/>
            <w:shd w:val="clear" w:color="auto" w:fill="1F3864" w:themeFill="accent1" w:themeFillShade="80"/>
            <w:hideMark/>
          </w:tcPr>
          <w:p w14:paraId="2B9A8260" w14:textId="77777777" w:rsidR="00DD7973" w:rsidRPr="00232EBB" w:rsidRDefault="00DD7973" w:rsidP="00DD7973">
            <w:pPr>
              <w:pStyle w:val="xxmsonormal"/>
              <w:spacing w:line="360" w:lineRule="auto"/>
              <w:jc w:val="center"/>
              <w:rPr>
                <w:rFonts w:ascii="Times New Roman" w:hAnsi="Times New Roman" w:cs="Times New Roman"/>
                <w:b/>
                <w:bCs/>
                <w:color w:val="FFFFFF" w:themeColor="background1"/>
              </w:rPr>
            </w:pPr>
            <w:r w:rsidRPr="00232EBB">
              <w:rPr>
                <w:rFonts w:ascii="Times New Roman" w:hAnsi="Times New Roman" w:cs="Times New Roman"/>
                <w:b/>
                <w:bCs/>
                <w:color w:val="FFFFFF" w:themeColor="background1"/>
                <w:lang w:val="es-ES"/>
              </w:rPr>
              <w:t>Subpilar</w:t>
            </w:r>
          </w:p>
        </w:tc>
        <w:tc>
          <w:tcPr>
            <w:tcW w:w="2025" w:type="dxa"/>
            <w:shd w:val="clear" w:color="auto" w:fill="1F3864" w:themeFill="accent1" w:themeFillShade="80"/>
          </w:tcPr>
          <w:p w14:paraId="61887510" w14:textId="77777777" w:rsidR="00DD7973" w:rsidRPr="00232EBB" w:rsidRDefault="00DD7973" w:rsidP="00DD7973">
            <w:pPr>
              <w:pStyle w:val="xxmsonormal"/>
              <w:spacing w:line="360" w:lineRule="auto"/>
              <w:jc w:val="center"/>
              <w:rPr>
                <w:rFonts w:ascii="Times New Roman" w:hAnsi="Times New Roman" w:cs="Times New Roman"/>
                <w:b/>
                <w:bCs/>
                <w:color w:val="FFFFFF" w:themeColor="background1"/>
                <w:lang w:val="es-ES"/>
              </w:rPr>
            </w:pPr>
            <w:r w:rsidRPr="00232EBB">
              <w:rPr>
                <w:rFonts w:ascii="Times New Roman" w:hAnsi="Times New Roman" w:cs="Times New Roman"/>
                <w:b/>
                <w:bCs/>
                <w:color w:val="FFFFFF" w:themeColor="background1"/>
                <w:lang w:val="es-ES"/>
              </w:rPr>
              <w:t>Cumplimiento</w:t>
            </w:r>
          </w:p>
        </w:tc>
        <w:tc>
          <w:tcPr>
            <w:tcW w:w="1580" w:type="dxa"/>
            <w:shd w:val="clear" w:color="auto" w:fill="1F3864" w:themeFill="accent1" w:themeFillShade="80"/>
          </w:tcPr>
          <w:p w14:paraId="4AFFDEFF" w14:textId="77777777" w:rsidR="00DD7973" w:rsidRPr="00232EBB" w:rsidRDefault="00DD7973" w:rsidP="00DD7973">
            <w:pPr>
              <w:pStyle w:val="xxmsonormal"/>
              <w:spacing w:line="360" w:lineRule="auto"/>
              <w:jc w:val="center"/>
              <w:rPr>
                <w:rFonts w:ascii="Times New Roman" w:hAnsi="Times New Roman" w:cs="Times New Roman"/>
                <w:b/>
                <w:bCs/>
                <w:color w:val="FFFFFF" w:themeColor="background1"/>
                <w:lang w:val="es-ES"/>
              </w:rPr>
            </w:pPr>
            <w:r w:rsidRPr="00232EBB">
              <w:rPr>
                <w:rFonts w:ascii="Times New Roman" w:hAnsi="Times New Roman" w:cs="Times New Roman"/>
                <w:b/>
                <w:bCs/>
                <w:color w:val="FFFFFF" w:themeColor="background1"/>
                <w:lang w:val="es-ES"/>
              </w:rPr>
              <w:t>Posición</w:t>
            </w:r>
          </w:p>
        </w:tc>
      </w:tr>
      <w:tr w:rsidR="00DD7973" w:rsidRPr="00232EBB" w14:paraId="2B638925" w14:textId="77777777" w:rsidTr="00871FDE">
        <w:trPr>
          <w:trHeight w:val="203"/>
        </w:trPr>
        <w:tc>
          <w:tcPr>
            <w:tcW w:w="3955" w:type="dxa"/>
            <w:noWrap/>
            <w:vAlign w:val="center"/>
          </w:tcPr>
          <w:p w14:paraId="7EDCA0B6" w14:textId="77777777" w:rsidR="00DD7973" w:rsidRPr="00232EBB" w:rsidRDefault="00DD7973" w:rsidP="00871FDE">
            <w:pPr>
              <w:pStyle w:val="xxmsonormal"/>
              <w:spacing w:line="360" w:lineRule="auto"/>
              <w:rPr>
                <w:rFonts w:ascii="Times New Roman" w:eastAsia="Calibri" w:hAnsi="Times New Roman" w:cs="Times New Roman"/>
                <w:noProof/>
                <w:color w:val="767171"/>
                <w:spacing w:val="20"/>
                <w:sz w:val="24"/>
                <w:szCs w:val="24"/>
                <w:lang w:eastAsia="en-US"/>
              </w:rPr>
            </w:pPr>
            <w:r w:rsidRPr="00232EBB">
              <w:rPr>
                <w:rFonts w:ascii="Times New Roman" w:eastAsia="Calibri" w:hAnsi="Times New Roman" w:cs="Times New Roman"/>
                <w:noProof/>
                <w:color w:val="767171"/>
                <w:spacing w:val="20"/>
                <w:sz w:val="24"/>
                <w:szCs w:val="24"/>
              </w:rPr>
              <w:t>Usos de la TIC</w:t>
            </w:r>
          </w:p>
        </w:tc>
        <w:tc>
          <w:tcPr>
            <w:tcW w:w="2025" w:type="dxa"/>
            <w:vAlign w:val="center"/>
          </w:tcPr>
          <w:p w14:paraId="710E58FB" w14:textId="77777777" w:rsidR="00DD7973" w:rsidRPr="00232EBB" w:rsidRDefault="00DD7973" w:rsidP="00871FDE">
            <w:pPr>
              <w:pStyle w:val="xxmsonormal"/>
              <w:spacing w:line="360" w:lineRule="auto"/>
              <w:jc w:val="center"/>
              <w:rPr>
                <w:rFonts w:ascii="Times New Roman" w:eastAsia="Calibri" w:hAnsi="Times New Roman" w:cs="Times New Roman"/>
                <w:noProof/>
                <w:color w:val="767171"/>
                <w:spacing w:val="20"/>
                <w:sz w:val="24"/>
                <w:szCs w:val="24"/>
              </w:rPr>
            </w:pPr>
            <w:r w:rsidRPr="00232EBB">
              <w:rPr>
                <w:rFonts w:ascii="Times New Roman" w:eastAsia="Calibri" w:hAnsi="Times New Roman" w:cs="Times New Roman"/>
                <w:noProof/>
                <w:color w:val="767171"/>
                <w:spacing w:val="20"/>
                <w:sz w:val="24"/>
                <w:szCs w:val="24"/>
              </w:rPr>
              <w:t>12.17</w:t>
            </w:r>
          </w:p>
        </w:tc>
        <w:tc>
          <w:tcPr>
            <w:tcW w:w="1580" w:type="dxa"/>
            <w:vMerge w:val="restart"/>
            <w:vAlign w:val="center"/>
          </w:tcPr>
          <w:p w14:paraId="4E78808E" w14:textId="77777777" w:rsidR="00DD7973" w:rsidRPr="00232EBB" w:rsidRDefault="00DD7973" w:rsidP="00871FDE">
            <w:pPr>
              <w:pStyle w:val="xxmsonormal"/>
              <w:spacing w:line="360" w:lineRule="auto"/>
              <w:jc w:val="center"/>
              <w:rPr>
                <w:rFonts w:ascii="Times New Roman" w:eastAsia="Calibri" w:hAnsi="Times New Roman" w:cs="Times New Roman"/>
                <w:noProof/>
                <w:color w:val="767171"/>
                <w:spacing w:val="20"/>
                <w:sz w:val="24"/>
                <w:szCs w:val="24"/>
                <w:highlight w:val="yellow"/>
              </w:rPr>
            </w:pPr>
          </w:p>
          <w:p w14:paraId="7FE8ACA9" w14:textId="77777777" w:rsidR="00DD7973" w:rsidRPr="00232EBB" w:rsidRDefault="00DD7973" w:rsidP="00871FDE">
            <w:pPr>
              <w:pStyle w:val="xxmsonormal"/>
              <w:spacing w:line="360" w:lineRule="auto"/>
              <w:jc w:val="center"/>
              <w:rPr>
                <w:rFonts w:ascii="Times New Roman" w:eastAsia="Calibri" w:hAnsi="Times New Roman" w:cs="Times New Roman"/>
                <w:noProof/>
                <w:color w:val="767171"/>
                <w:spacing w:val="20"/>
                <w:sz w:val="24"/>
                <w:szCs w:val="24"/>
                <w:highlight w:val="yellow"/>
              </w:rPr>
            </w:pPr>
          </w:p>
          <w:p w14:paraId="1C34D0E0" w14:textId="77777777" w:rsidR="00DD7973" w:rsidRPr="00232EBB" w:rsidRDefault="00DD7973" w:rsidP="00871FDE">
            <w:pPr>
              <w:pStyle w:val="xxmsonormal"/>
              <w:spacing w:line="360" w:lineRule="auto"/>
              <w:jc w:val="center"/>
              <w:rPr>
                <w:rFonts w:ascii="Times New Roman" w:eastAsia="Calibri" w:hAnsi="Times New Roman" w:cs="Times New Roman"/>
                <w:noProof/>
                <w:color w:val="767171"/>
                <w:spacing w:val="20"/>
                <w:sz w:val="24"/>
                <w:szCs w:val="24"/>
                <w:highlight w:val="yellow"/>
              </w:rPr>
            </w:pPr>
          </w:p>
          <w:p w14:paraId="313DD00E" w14:textId="77777777" w:rsidR="00DD7973" w:rsidRPr="00232EBB" w:rsidRDefault="00DD7973" w:rsidP="00871FDE">
            <w:pPr>
              <w:pStyle w:val="xxmsonormal"/>
              <w:spacing w:line="360" w:lineRule="auto"/>
              <w:jc w:val="center"/>
              <w:rPr>
                <w:rFonts w:ascii="Times New Roman" w:eastAsia="Calibri" w:hAnsi="Times New Roman" w:cs="Times New Roman"/>
                <w:noProof/>
                <w:color w:val="767171"/>
                <w:spacing w:val="20"/>
                <w:sz w:val="24"/>
                <w:szCs w:val="24"/>
                <w:highlight w:val="yellow"/>
                <w:lang w:eastAsia="en-US"/>
              </w:rPr>
            </w:pPr>
            <w:r w:rsidRPr="00232EBB">
              <w:rPr>
                <w:rFonts w:ascii="Times New Roman" w:eastAsia="Calibri" w:hAnsi="Times New Roman" w:cs="Times New Roman"/>
                <w:noProof/>
                <w:color w:val="767171"/>
                <w:spacing w:val="20"/>
                <w:sz w:val="24"/>
                <w:szCs w:val="24"/>
              </w:rPr>
              <w:t>21</w:t>
            </w:r>
          </w:p>
        </w:tc>
      </w:tr>
      <w:tr w:rsidR="00DD7973" w:rsidRPr="00232EBB" w14:paraId="488560E3" w14:textId="77777777" w:rsidTr="00871FDE">
        <w:trPr>
          <w:trHeight w:val="230"/>
        </w:trPr>
        <w:tc>
          <w:tcPr>
            <w:tcW w:w="3955" w:type="dxa"/>
            <w:noWrap/>
            <w:vAlign w:val="center"/>
          </w:tcPr>
          <w:p w14:paraId="2491250A" w14:textId="77777777" w:rsidR="00DD7973" w:rsidRPr="00232EBB" w:rsidRDefault="00DD7973" w:rsidP="00871FDE">
            <w:pPr>
              <w:pStyle w:val="xxmsonormal"/>
              <w:spacing w:line="360" w:lineRule="auto"/>
              <w:rPr>
                <w:rFonts w:ascii="Times New Roman" w:eastAsia="Calibri" w:hAnsi="Times New Roman" w:cs="Times New Roman"/>
                <w:noProof/>
                <w:color w:val="767171"/>
                <w:spacing w:val="20"/>
                <w:sz w:val="24"/>
                <w:szCs w:val="24"/>
                <w:lang w:eastAsia="en-US"/>
              </w:rPr>
            </w:pPr>
            <w:r w:rsidRPr="00232EBB">
              <w:rPr>
                <w:rFonts w:ascii="Times New Roman" w:eastAsia="Calibri" w:hAnsi="Times New Roman" w:cs="Times New Roman"/>
                <w:noProof/>
                <w:color w:val="767171"/>
                <w:spacing w:val="20"/>
                <w:sz w:val="24"/>
                <w:szCs w:val="24"/>
              </w:rPr>
              <w:t>Gobierno digigal</w:t>
            </w:r>
          </w:p>
        </w:tc>
        <w:tc>
          <w:tcPr>
            <w:tcW w:w="2025" w:type="dxa"/>
            <w:vAlign w:val="center"/>
          </w:tcPr>
          <w:p w14:paraId="6F46A6E1" w14:textId="77777777" w:rsidR="00DD7973" w:rsidRPr="00232EBB" w:rsidRDefault="00DD7973" w:rsidP="00871FDE">
            <w:pPr>
              <w:pStyle w:val="xxmsonormal"/>
              <w:spacing w:line="360" w:lineRule="auto"/>
              <w:jc w:val="center"/>
              <w:rPr>
                <w:rFonts w:ascii="Times New Roman" w:eastAsia="Calibri" w:hAnsi="Times New Roman" w:cs="Times New Roman"/>
                <w:noProof/>
                <w:color w:val="767171"/>
                <w:spacing w:val="20"/>
                <w:sz w:val="24"/>
                <w:szCs w:val="24"/>
              </w:rPr>
            </w:pPr>
            <w:r w:rsidRPr="00232EBB">
              <w:rPr>
                <w:rFonts w:ascii="Times New Roman" w:eastAsia="Calibri" w:hAnsi="Times New Roman" w:cs="Times New Roman"/>
                <w:noProof/>
                <w:color w:val="767171"/>
                <w:spacing w:val="20"/>
                <w:sz w:val="24"/>
                <w:szCs w:val="24"/>
              </w:rPr>
              <w:t>20.61</w:t>
            </w:r>
          </w:p>
        </w:tc>
        <w:tc>
          <w:tcPr>
            <w:tcW w:w="1580" w:type="dxa"/>
            <w:vMerge/>
            <w:vAlign w:val="center"/>
          </w:tcPr>
          <w:p w14:paraId="047CF310" w14:textId="77777777" w:rsidR="00DD7973" w:rsidRPr="00232EBB" w:rsidRDefault="00DD7973" w:rsidP="00871FDE">
            <w:pPr>
              <w:pStyle w:val="xxmsonormal"/>
              <w:spacing w:line="360" w:lineRule="auto"/>
              <w:jc w:val="center"/>
              <w:rPr>
                <w:rFonts w:ascii="Times New Roman" w:eastAsia="Calibri" w:hAnsi="Times New Roman" w:cs="Times New Roman"/>
                <w:noProof/>
                <w:color w:val="767171"/>
                <w:spacing w:val="20"/>
                <w:sz w:val="24"/>
                <w:szCs w:val="24"/>
                <w:lang w:eastAsia="en-US"/>
              </w:rPr>
            </w:pPr>
          </w:p>
        </w:tc>
      </w:tr>
      <w:tr w:rsidR="00DD7973" w:rsidRPr="00232EBB" w14:paraId="523C6C10" w14:textId="77777777" w:rsidTr="00871FDE">
        <w:trPr>
          <w:trHeight w:val="338"/>
        </w:trPr>
        <w:tc>
          <w:tcPr>
            <w:tcW w:w="3955" w:type="dxa"/>
            <w:noWrap/>
            <w:vAlign w:val="center"/>
          </w:tcPr>
          <w:p w14:paraId="3FE2C785" w14:textId="77777777" w:rsidR="00DD7973" w:rsidRPr="00232EBB" w:rsidRDefault="00DD7973" w:rsidP="00871FDE">
            <w:pPr>
              <w:pStyle w:val="xxmsonormal"/>
              <w:spacing w:line="360" w:lineRule="auto"/>
              <w:rPr>
                <w:rFonts w:ascii="Times New Roman" w:eastAsia="Calibri" w:hAnsi="Times New Roman" w:cs="Times New Roman"/>
                <w:noProof/>
                <w:color w:val="767171"/>
                <w:spacing w:val="20"/>
                <w:sz w:val="24"/>
                <w:szCs w:val="24"/>
                <w:lang w:eastAsia="en-US"/>
              </w:rPr>
            </w:pPr>
            <w:r w:rsidRPr="00232EBB">
              <w:rPr>
                <w:rFonts w:ascii="Times New Roman" w:eastAsia="Calibri" w:hAnsi="Times New Roman" w:cs="Times New Roman"/>
                <w:noProof/>
                <w:color w:val="767171"/>
                <w:spacing w:val="20"/>
                <w:sz w:val="24"/>
                <w:szCs w:val="24"/>
              </w:rPr>
              <w:t>Innovación</w:t>
            </w:r>
          </w:p>
        </w:tc>
        <w:tc>
          <w:tcPr>
            <w:tcW w:w="2025" w:type="dxa"/>
            <w:vAlign w:val="center"/>
          </w:tcPr>
          <w:p w14:paraId="7A0D1819" w14:textId="77777777" w:rsidR="00DD7973" w:rsidRPr="00232EBB" w:rsidRDefault="00DD7973" w:rsidP="00871FDE">
            <w:pPr>
              <w:pStyle w:val="xxmsonormal"/>
              <w:spacing w:line="360" w:lineRule="auto"/>
              <w:jc w:val="center"/>
              <w:rPr>
                <w:rFonts w:ascii="Times New Roman" w:eastAsia="Calibri" w:hAnsi="Times New Roman" w:cs="Times New Roman"/>
                <w:noProof/>
                <w:color w:val="767171"/>
                <w:spacing w:val="20"/>
                <w:sz w:val="24"/>
                <w:szCs w:val="24"/>
              </w:rPr>
            </w:pPr>
            <w:r w:rsidRPr="00232EBB">
              <w:rPr>
                <w:rFonts w:ascii="Times New Roman" w:eastAsia="Calibri" w:hAnsi="Times New Roman" w:cs="Times New Roman"/>
                <w:noProof/>
                <w:color w:val="767171"/>
                <w:spacing w:val="20"/>
                <w:sz w:val="24"/>
                <w:szCs w:val="24"/>
              </w:rPr>
              <w:t>2</w:t>
            </w:r>
          </w:p>
        </w:tc>
        <w:tc>
          <w:tcPr>
            <w:tcW w:w="1580" w:type="dxa"/>
            <w:vMerge/>
            <w:vAlign w:val="center"/>
          </w:tcPr>
          <w:p w14:paraId="63626EAA" w14:textId="77777777" w:rsidR="00DD7973" w:rsidRPr="00232EBB" w:rsidRDefault="00DD7973" w:rsidP="00871FDE">
            <w:pPr>
              <w:pStyle w:val="xxmsonormal"/>
              <w:spacing w:line="360" w:lineRule="auto"/>
              <w:jc w:val="center"/>
              <w:rPr>
                <w:rFonts w:ascii="Times New Roman" w:eastAsia="Calibri" w:hAnsi="Times New Roman" w:cs="Times New Roman"/>
                <w:noProof/>
                <w:color w:val="767171"/>
                <w:spacing w:val="20"/>
                <w:sz w:val="24"/>
                <w:szCs w:val="24"/>
                <w:lang w:eastAsia="en-US"/>
              </w:rPr>
            </w:pPr>
          </w:p>
        </w:tc>
      </w:tr>
      <w:tr w:rsidR="00DD7973" w:rsidRPr="00232EBB" w14:paraId="45CED14B" w14:textId="77777777" w:rsidTr="00871FDE">
        <w:trPr>
          <w:trHeight w:val="383"/>
        </w:trPr>
        <w:tc>
          <w:tcPr>
            <w:tcW w:w="3955" w:type="dxa"/>
            <w:noWrap/>
            <w:vAlign w:val="center"/>
          </w:tcPr>
          <w:p w14:paraId="730A88C3" w14:textId="77777777" w:rsidR="00DD7973" w:rsidRPr="00232EBB" w:rsidRDefault="00DD7973" w:rsidP="00871FDE">
            <w:pPr>
              <w:pStyle w:val="xxmsonormal"/>
              <w:spacing w:line="360" w:lineRule="auto"/>
              <w:rPr>
                <w:rFonts w:ascii="Times New Roman" w:eastAsia="Calibri" w:hAnsi="Times New Roman" w:cs="Times New Roman"/>
                <w:noProof/>
                <w:color w:val="767171"/>
                <w:spacing w:val="20"/>
                <w:sz w:val="24"/>
                <w:szCs w:val="24"/>
                <w:lang w:eastAsia="en-US"/>
              </w:rPr>
            </w:pPr>
            <w:r w:rsidRPr="00232EBB">
              <w:rPr>
                <w:rFonts w:ascii="Times New Roman" w:eastAsia="Calibri" w:hAnsi="Times New Roman" w:cs="Times New Roman"/>
                <w:noProof/>
                <w:color w:val="767171"/>
                <w:spacing w:val="20"/>
                <w:sz w:val="24"/>
                <w:szCs w:val="24"/>
              </w:rPr>
              <w:t>E-Participación</w:t>
            </w:r>
          </w:p>
        </w:tc>
        <w:tc>
          <w:tcPr>
            <w:tcW w:w="2025" w:type="dxa"/>
            <w:vAlign w:val="center"/>
          </w:tcPr>
          <w:p w14:paraId="762D90B4" w14:textId="77777777" w:rsidR="00DD7973" w:rsidRPr="00232EBB" w:rsidRDefault="00DD7973" w:rsidP="00871FDE">
            <w:pPr>
              <w:pStyle w:val="xxmsonormal"/>
              <w:spacing w:line="360" w:lineRule="auto"/>
              <w:jc w:val="center"/>
              <w:rPr>
                <w:rFonts w:ascii="Times New Roman" w:eastAsia="Calibri" w:hAnsi="Times New Roman" w:cs="Times New Roman"/>
                <w:noProof/>
                <w:color w:val="767171"/>
                <w:spacing w:val="20"/>
                <w:sz w:val="24"/>
                <w:szCs w:val="24"/>
              </w:rPr>
            </w:pPr>
            <w:r w:rsidRPr="00232EBB">
              <w:rPr>
                <w:rFonts w:ascii="Times New Roman" w:eastAsia="Calibri" w:hAnsi="Times New Roman" w:cs="Times New Roman"/>
                <w:noProof/>
                <w:color w:val="767171"/>
                <w:spacing w:val="20"/>
                <w:sz w:val="24"/>
                <w:szCs w:val="24"/>
              </w:rPr>
              <w:t>13.13</w:t>
            </w:r>
          </w:p>
        </w:tc>
        <w:tc>
          <w:tcPr>
            <w:tcW w:w="1580" w:type="dxa"/>
            <w:vMerge/>
            <w:vAlign w:val="center"/>
          </w:tcPr>
          <w:p w14:paraId="4D1550EF" w14:textId="77777777" w:rsidR="00DD7973" w:rsidRPr="00232EBB" w:rsidRDefault="00DD7973" w:rsidP="00871FDE">
            <w:pPr>
              <w:pStyle w:val="xxmsonormal"/>
              <w:spacing w:line="360" w:lineRule="auto"/>
              <w:jc w:val="center"/>
              <w:rPr>
                <w:rFonts w:ascii="Times New Roman" w:eastAsia="Calibri" w:hAnsi="Times New Roman" w:cs="Times New Roman"/>
                <w:noProof/>
                <w:color w:val="767171"/>
                <w:spacing w:val="20"/>
                <w:sz w:val="24"/>
                <w:szCs w:val="24"/>
                <w:lang w:eastAsia="en-US"/>
              </w:rPr>
            </w:pPr>
          </w:p>
        </w:tc>
      </w:tr>
      <w:tr w:rsidR="00DD7973" w:rsidRPr="00232EBB" w14:paraId="37332B13" w14:textId="77777777" w:rsidTr="00871FDE">
        <w:trPr>
          <w:trHeight w:val="338"/>
        </w:trPr>
        <w:tc>
          <w:tcPr>
            <w:tcW w:w="3955" w:type="dxa"/>
            <w:noWrap/>
            <w:vAlign w:val="center"/>
          </w:tcPr>
          <w:p w14:paraId="2A3FF660" w14:textId="77777777" w:rsidR="00DD7973" w:rsidRPr="00232EBB" w:rsidRDefault="00DD7973" w:rsidP="00871FDE">
            <w:pPr>
              <w:pStyle w:val="xxmsonormal"/>
              <w:spacing w:line="360" w:lineRule="auto"/>
              <w:rPr>
                <w:rFonts w:ascii="Times New Roman" w:eastAsia="Calibri" w:hAnsi="Times New Roman" w:cs="Times New Roman"/>
                <w:noProof/>
                <w:color w:val="767171"/>
                <w:spacing w:val="20"/>
                <w:sz w:val="24"/>
                <w:szCs w:val="24"/>
              </w:rPr>
            </w:pPr>
            <w:r w:rsidRPr="00232EBB">
              <w:rPr>
                <w:rFonts w:ascii="Times New Roman" w:eastAsia="Calibri" w:hAnsi="Times New Roman" w:cs="Times New Roman"/>
                <w:noProof/>
                <w:color w:val="767171"/>
                <w:spacing w:val="20"/>
                <w:sz w:val="24"/>
                <w:szCs w:val="24"/>
                <w:lang w:eastAsia="en-US"/>
              </w:rPr>
              <w:t>Servicios en Línea</w:t>
            </w:r>
          </w:p>
        </w:tc>
        <w:tc>
          <w:tcPr>
            <w:tcW w:w="2025" w:type="dxa"/>
            <w:vAlign w:val="center"/>
          </w:tcPr>
          <w:p w14:paraId="72DB8954" w14:textId="77777777" w:rsidR="00DD7973" w:rsidRPr="00232EBB" w:rsidRDefault="00DD7973" w:rsidP="00871FDE">
            <w:pPr>
              <w:pStyle w:val="xxmsonormal"/>
              <w:spacing w:line="360" w:lineRule="auto"/>
              <w:jc w:val="center"/>
              <w:rPr>
                <w:rFonts w:ascii="Times New Roman" w:eastAsia="Calibri" w:hAnsi="Times New Roman" w:cs="Times New Roman"/>
                <w:noProof/>
                <w:color w:val="767171"/>
                <w:spacing w:val="20"/>
                <w:sz w:val="24"/>
                <w:szCs w:val="24"/>
              </w:rPr>
            </w:pPr>
            <w:r w:rsidRPr="00232EBB">
              <w:rPr>
                <w:rFonts w:ascii="Times New Roman" w:eastAsia="Calibri" w:hAnsi="Times New Roman" w:cs="Times New Roman"/>
                <w:noProof/>
                <w:color w:val="767171"/>
                <w:spacing w:val="20"/>
                <w:sz w:val="24"/>
                <w:szCs w:val="24"/>
              </w:rPr>
              <w:t>28.28</w:t>
            </w:r>
          </w:p>
        </w:tc>
        <w:tc>
          <w:tcPr>
            <w:tcW w:w="1580" w:type="dxa"/>
            <w:vMerge/>
            <w:vAlign w:val="center"/>
          </w:tcPr>
          <w:p w14:paraId="6B304E27" w14:textId="77777777" w:rsidR="00DD7973" w:rsidRPr="00232EBB" w:rsidRDefault="00DD7973" w:rsidP="00871FDE">
            <w:pPr>
              <w:pStyle w:val="xxmsonormal"/>
              <w:spacing w:line="360" w:lineRule="auto"/>
              <w:jc w:val="center"/>
              <w:rPr>
                <w:rFonts w:ascii="Times New Roman" w:eastAsia="Calibri" w:hAnsi="Times New Roman" w:cs="Times New Roman"/>
                <w:noProof/>
                <w:color w:val="767171"/>
                <w:spacing w:val="20"/>
                <w:sz w:val="24"/>
                <w:szCs w:val="24"/>
                <w:lang w:eastAsia="en-US"/>
              </w:rPr>
            </w:pPr>
          </w:p>
        </w:tc>
      </w:tr>
      <w:tr w:rsidR="00DD7973" w:rsidRPr="00232EBB" w14:paraId="0BCCAF4D" w14:textId="77777777" w:rsidTr="00871FDE">
        <w:trPr>
          <w:trHeight w:val="96"/>
        </w:trPr>
        <w:tc>
          <w:tcPr>
            <w:tcW w:w="3955" w:type="dxa"/>
            <w:noWrap/>
            <w:vAlign w:val="center"/>
          </w:tcPr>
          <w:p w14:paraId="410849F3" w14:textId="77777777" w:rsidR="00DD7973" w:rsidRPr="00232EBB" w:rsidRDefault="00DD7973" w:rsidP="00871FDE">
            <w:pPr>
              <w:pStyle w:val="xxmsonormal"/>
              <w:spacing w:line="360" w:lineRule="auto"/>
              <w:rPr>
                <w:rFonts w:ascii="Times New Roman" w:eastAsia="Calibri" w:hAnsi="Times New Roman" w:cs="Times New Roman"/>
                <w:b/>
                <w:bCs/>
                <w:noProof/>
                <w:color w:val="767171"/>
                <w:spacing w:val="20"/>
                <w:sz w:val="24"/>
                <w:szCs w:val="24"/>
                <w:lang w:eastAsia="en-US"/>
              </w:rPr>
            </w:pPr>
            <w:r w:rsidRPr="00232EBB">
              <w:rPr>
                <w:rFonts w:ascii="Times New Roman" w:eastAsia="Calibri" w:hAnsi="Times New Roman" w:cs="Times New Roman"/>
                <w:b/>
                <w:bCs/>
                <w:noProof/>
                <w:color w:val="767171"/>
                <w:spacing w:val="20"/>
                <w:sz w:val="24"/>
                <w:szCs w:val="24"/>
                <w:lang w:eastAsia="en-US"/>
              </w:rPr>
              <w:t>TOTAL</w:t>
            </w:r>
          </w:p>
        </w:tc>
        <w:tc>
          <w:tcPr>
            <w:tcW w:w="2025" w:type="dxa"/>
            <w:vAlign w:val="center"/>
          </w:tcPr>
          <w:p w14:paraId="7609C524" w14:textId="77777777" w:rsidR="00DD7973" w:rsidRPr="00232EBB" w:rsidRDefault="00DD7973" w:rsidP="00871FDE">
            <w:pPr>
              <w:pStyle w:val="xxmsonormal"/>
              <w:spacing w:line="360" w:lineRule="auto"/>
              <w:jc w:val="center"/>
              <w:rPr>
                <w:rFonts w:ascii="Times New Roman" w:eastAsia="Calibri" w:hAnsi="Times New Roman" w:cs="Times New Roman"/>
                <w:b/>
                <w:bCs/>
                <w:noProof/>
                <w:color w:val="767171"/>
                <w:spacing w:val="20"/>
                <w:sz w:val="24"/>
                <w:szCs w:val="24"/>
              </w:rPr>
            </w:pPr>
            <w:r w:rsidRPr="00232EBB">
              <w:rPr>
                <w:rFonts w:ascii="Times New Roman" w:eastAsia="Calibri" w:hAnsi="Times New Roman" w:cs="Times New Roman"/>
                <w:b/>
                <w:bCs/>
                <w:noProof/>
                <w:color w:val="767171"/>
                <w:spacing w:val="20"/>
                <w:sz w:val="24"/>
                <w:szCs w:val="24"/>
              </w:rPr>
              <w:t>74.19</w:t>
            </w:r>
          </w:p>
        </w:tc>
        <w:tc>
          <w:tcPr>
            <w:tcW w:w="1580" w:type="dxa"/>
            <w:vMerge/>
            <w:vAlign w:val="center"/>
          </w:tcPr>
          <w:p w14:paraId="6FDCFC6C" w14:textId="77777777" w:rsidR="00DD7973" w:rsidRPr="00232EBB" w:rsidRDefault="00DD7973" w:rsidP="00871FDE">
            <w:pPr>
              <w:pStyle w:val="xxmsonormal"/>
              <w:spacing w:line="360" w:lineRule="auto"/>
              <w:jc w:val="center"/>
              <w:rPr>
                <w:rFonts w:ascii="Times New Roman" w:eastAsia="Calibri" w:hAnsi="Times New Roman" w:cs="Times New Roman"/>
                <w:noProof/>
                <w:color w:val="767171"/>
                <w:spacing w:val="20"/>
                <w:sz w:val="24"/>
                <w:szCs w:val="24"/>
                <w:lang w:eastAsia="en-US"/>
              </w:rPr>
            </w:pPr>
          </w:p>
        </w:tc>
      </w:tr>
      <w:bookmarkEnd w:id="223"/>
    </w:tbl>
    <w:p w14:paraId="503136C9" w14:textId="77777777" w:rsidR="008105FE" w:rsidRPr="00232EBB" w:rsidRDefault="008105FE" w:rsidP="001C0F69">
      <w:pPr>
        <w:spacing w:line="360" w:lineRule="auto"/>
        <w:jc w:val="both"/>
        <w:rPr>
          <w:rFonts w:eastAsia="Calibri"/>
          <w:b/>
          <w:bCs/>
          <w:sz w:val="18"/>
          <w:szCs w:val="18"/>
          <w:lang w:val="es-ES"/>
        </w:rPr>
      </w:pPr>
    </w:p>
    <w:p w14:paraId="565A8135" w14:textId="1E911618" w:rsidR="000400ED" w:rsidRPr="00232EBB" w:rsidRDefault="000400ED" w:rsidP="001C0F69">
      <w:pPr>
        <w:spacing w:line="360" w:lineRule="auto"/>
        <w:jc w:val="both"/>
        <w:rPr>
          <w:lang w:val="es-DO"/>
        </w:rPr>
      </w:pPr>
      <w:r w:rsidRPr="00232EBB">
        <w:rPr>
          <w:rFonts w:eastAsia="Calibri"/>
          <w:b/>
          <w:bCs/>
          <w:sz w:val="18"/>
          <w:szCs w:val="18"/>
          <w:lang w:val="es-ES"/>
        </w:rPr>
        <w:t>Tabla 2</w:t>
      </w:r>
      <w:r w:rsidR="00E14CB6" w:rsidRPr="00232EBB">
        <w:rPr>
          <w:rFonts w:eastAsia="Calibri"/>
          <w:b/>
          <w:bCs/>
          <w:sz w:val="18"/>
          <w:szCs w:val="18"/>
          <w:lang w:val="es-ES"/>
        </w:rPr>
        <w:t>0</w:t>
      </w:r>
      <w:r w:rsidRPr="00232EBB">
        <w:rPr>
          <w:rFonts w:eastAsia="Calibri"/>
          <w:b/>
          <w:bCs/>
          <w:sz w:val="18"/>
          <w:szCs w:val="18"/>
          <w:lang w:val="es-ES"/>
        </w:rPr>
        <w:t xml:space="preserve">: </w:t>
      </w:r>
      <w:hyperlink r:id="rId50" w:history="1">
        <w:r w:rsidRPr="00232EBB">
          <w:rPr>
            <w:rFonts w:eastAsia="Calibri"/>
            <w:sz w:val="18"/>
            <w:szCs w:val="18"/>
            <w:lang w:val="es-ES"/>
          </w:rPr>
          <w:t>http://sisticge.dominicana.gob.do/dashboard.php</w:t>
        </w:r>
      </w:hyperlink>
    </w:p>
    <w:p w14:paraId="03B1F615" w14:textId="0AD003C8" w:rsidR="00E82B86" w:rsidRPr="00232EBB" w:rsidRDefault="00E82B86" w:rsidP="001C0F69">
      <w:pPr>
        <w:spacing w:line="360" w:lineRule="auto"/>
        <w:jc w:val="both"/>
        <w:rPr>
          <w:b/>
          <w:bCs/>
          <w:lang w:val="es-ES"/>
        </w:rPr>
      </w:pPr>
      <w:r w:rsidRPr="00232EBB">
        <w:rPr>
          <w:b/>
          <w:bCs/>
          <w:lang w:val="es-ES"/>
        </w:rPr>
        <w:t>Departamento de Gestión Seguridad de la Información</w:t>
      </w:r>
      <w:bookmarkEnd w:id="224"/>
      <w:bookmarkEnd w:id="225"/>
      <w:bookmarkEnd w:id="226"/>
      <w:bookmarkEnd w:id="227"/>
      <w:bookmarkEnd w:id="228"/>
    </w:p>
    <w:p w14:paraId="00CB5F89" w14:textId="77777777" w:rsidR="008D0C91" w:rsidRPr="00232EBB" w:rsidRDefault="008D0C91" w:rsidP="001C0F69">
      <w:pPr>
        <w:spacing w:line="360" w:lineRule="auto"/>
        <w:jc w:val="both"/>
        <w:rPr>
          <w:rFonts w:eastAsia="Calibri"/>
          <w:noProof/>
          <w:lang w:val="es-DO"/>
        </w:rPr>
      </w:pPr>
      <w:bookmarkStart w:id="229" w:name="_Toc171677868"/>
      <w:bookmarkStart w:id="230" w:name="_Toc172119875"/>
      <w:bookmarkStart w:id="231" w:name="_Toc172120208"/>
      <w:bookmarkStart w:id="232" w:name="_Toc172121426"/>
      <w:bookmarkStart w:id="233" w:name="_Toc184981203"/>
      <w:r w:rsidRPr="00232EBB">
        <w:rPr>
          <w:rFonts w:eastAsia="Calibri"/>
          <w:noProof/>
          <w:lang w:val="es-DO"/>
        </w:rPr>
        <w:t>El Departamento de Seguridad de la Información trabajó para reforzar la seguridad de la institución, implementando mejoras y apoyando a otras áreas en el desarrollo de sus proyectos. Su labor se centró en asegurar que las soluciones y actividades cumplieran con los lineamientos establecidos para proteger la información.</w:t>
      </w:r>
    </w:p>
    <w:p w14:paraId="141422D4" w14:textId="1F73DBDF" w:rsidR="008105FE" w:rsidRPr="00232EBB" w:rsidRDefault="008D0C91" w:rsidP="00871FDE">
      <w:pPr>
        <w:spacing w:line="360" w:lineRule="auto"/>
        <w:jc w:val="both"/>
        <w:rPr>
          <w:rFonts w:eastAsia="Calibri"/>
          <w:noProof/>
          <w:lang w:val="es-DO"/>
        </w:rPr>
      </w:pPr>
      <w:r w:rsidRPr="00232EBB">
        <w:rPr>
          <w:rFonts w:eastAsia="Calibri"/>
          <w:noProof/>
          <w:lang w:val="es-DO"/>
        </w:rPr>
        <w:t>A continuación, se presentan los principales logros y participaciones del departamento</w:t>
      </w:r>
      <w:r w:rsidR="008105FE" w:rsidRPr="00232EBB">
        <w:rPr>
          <w:rFonts w:eastAsia="Calibri"/>
          <w:noProof/>
          <w:lang w:val="es-DO"/>
        </w:rPr>
        <w:t>:</w:t>
      </w:r>
    </w:p>
    <w:p w14:paraId="755AA966" w14:textId="77777777" w:rsidR="008D0C91" w:rsidRPr="00232EBB" w:rsidRDefault="008D0C91" w:rsidP="000E2299">
      <w:pPr>
        <w:pStyle w:val="ListParagraph"/>
        <w:numPr>
          <w:ilvl w:val="0"/>
          <w:numId w:val="26"/>
        </w:numPr>
        <w:spacing w:line="360" w:lineRule="auto"/>
        <w:rPr>
          <w:rFonts w:ascii="Times New Roman" w:eastAsiaTheme="minorHAnsi" w:hAnsi="Times New Roman"/>
          <w:b/>
          <w:bCs/>
          <w:color w:val="767171"/>
          <w:spacing w:val="20"/>
          <w:sz w:val="24"/>
          <w:szCs w:val="24"/>
          <w:lang w:val="es-ES"/>
        </w:rPr>
      </w:pPr>
      <w:r w:rsidRPr="00232EBB">
        <w:rPr>
          <w:rFonts w:ascii="Times New Roman" w:eastAsiaTheme="minorHAnsi" w:hAnsi="Times New Roman"/>
          <w:b/>
          <w:bCs/>
          <w:color w:val="767171"/>
          <w:spacing w:val="20"/>
          <w:sz w:val="24"/>
          <w:szCs w:val="24"/>
          <w:lang w:val="es-ES"/>
        </w:rPr>
        <w:t xml:space="preserve">Proyecto de Implementación del Aplicativo Imperva DAM </w:t>
      </w:r>
    </w:p>
    <w:p w14:paraId="4E3CFD3F" w14:textId="77777777" w:rsidR="008D0C91" w:rsidRPr="00232EBB" w:rsidRDefault="008D0C91" w:rsidP="00AA7D5D">
      <w:pPr>
        <w:spacing w:line="360" w:lineRule="auto"/>
        <w:jc w:val="both"/>
        <w:rPr>
          <w:rFonts w:eastAsia="Calibri"/>
          <w:noProof/>
          <w:lang w:val="es-DO"/>
        </w:rPr>
      </w:pPr>
      <w:r w:rsidRPr="00232EBB">
        <w:rPr>
          <w:rFonts w:eastAsia="Calibri"/>
          <w:noProof/>
          <w:lang w:val="es-DO"/>
        </w:rPr>
        <w:t xml:space="preserve">Como parte del fortalecimiento continuo del marco de seguridad institucional, se completó la implementación del aplicativo Imperva Database Activity Monitoring (DAM), una herramienta que permite monitorear, auditar y proteger las actividades realizadas sobre las bases de datos críticas de la institución. </w:t>
      </w:r>
    </w:p>
    <w:p w14:paraId="78A71B37" w14:textId="77777777" w:rsidR="008D0C91" w:rsidRPr="00232EBB" w:rsidRDefault="008D0C91" w:rsidP="00AA7D5D">
      <w:pPr>
        <w:spacing w:line="360" w:lineRule="auto"/>
        <w:jc w:val="both"/>
        <w:rPr>
          <w:rFonts w:eastAsia="Calibri"/>
          <w:noProof/>
          <w:lang w:val="es-DO"/>
        </w:rPr>
      </w:pPr>
      <w:r w:rsidRPr="00232EBB">
        <w:rPr>
          <w:rFonts w:eastAsia="Calibri"/>
          <w:noProof/>
          <w:lang w:val="es-DO"/>
        </w:rPr>
        <w:t xml:space="preserve">Este logro se enmarca en las directrices establecidas en el Plan Estratégico Institucional de la Tesorería de la Seguridad Social, el cual establece ejes orientados a la protección de los datos e </w:t>
      </w:r>
      <w:r w:rsidRPr="00232EBB">
        <w:rPr>
          <w:rFonts w:eastAsia="Calibri"/>
          <w:noProof/>
          <w:lang w:val="es-DO"/>
        </w:rPr>
        <w:lastRenderedPageBreak/>
        <w:t>informaciones. Dentro de estos ejes se contemplan acciones encaminadas a reforzar los controles, aumentar la capacidad de monitoreo y garantizar una gestión segura de la información institucional</w:t>
      </w:r>
    </w:p>
    <w:p w14:paraId="550659B8" w14:textId="77777777" w:rsidR="008D0C91" w:rsidRPr="00232EBB" w:rsidRDefault="008D0C91" w:rsidP="000E2299">
      <w:pPr>
        <w:pStyle w:val="ListParagraph"/>
        <w:numPr>
          <w:ilvl w:val="0"/>
          <w:numId w:val="26"/>
        </w:numPr>
        <w:spacing w:line="360" w:lineRule="auto"/>
        <w:rPr>
          <w:rFonts w:ascii="Times New Roman" w:eastAsiaTheme="minorHAnsi" w:hAnsi="Times New Roman"/>
          <w:b/>
          <w:bCs/>
          <w:color w:val="767171"/>
          <w:spacing w:val="20"/>
          <w:sz w:val="24"/>
          <w:szCs w:val="24"/>
          <w:lang w:val="es-ES"/>
        </w:rPr>
      </w:pPr>
      <w:r w:rsidRPr="00232EBB">
        <w:rPr>
          <w:rFonts w:ascii="Times New Roman" w:eastAsiaTheme="minorHAnsi" w:hAnsi="Times New Roman"/>
          <w:b/>
          <w:bCs/>
          <w:color w:val="767171"/>
          <w:spacing w:val="20"/>
          <w:sz w:val="24"/>
          <w:szCs w:val="24"/>
          <w:lang w:val="es-ES"/>
        </w:rPr>
        <w:t xml:space="preserve">Proyecto de clasificación de la información </w:t>
      </w:r>
    </w:p>
    <w:p w14:paraId="6FACC5CD" w14:textId="77777777" w:rsidR="008D0C91" w:rsidRPr="00232EBB" w:rsidRDefault="008D0C91" w:rsidP="00457447">
      <w:pPr>
        <w:spacing w:line="360" w:lineRule="auto"/>
        <w:jc w:val="both"/>
        <w:rPr>
          <w:rFonts w:eastAsia="Calibri"/>
          <w:noProof/>
          <w:lang w:val="es-DO"/>
        </w:rPr>
      </w:pPr>
      <w:r w:rsidRPr="00232EBB">
        <w:rPr>
          <w:rFonts w:eastAsia="Calibri"/>
          <w:noProof/>
          <w:lang w:val="es-DO"/>
        </w:rPr>
        <w:t xml:space="preserve">Con el objetivo de categorizar los activos de información en función de su nivel de sensibilidad, valor institucional y riesgo asociado fue realizado este proyecto de clasificación el cual pudo ser completado al 100%. </w:t>
      </w:r>
    </w:p>
    <w:p w14:paraId="522D4122" w14:textId="77777777" w:rsidR="008D0C91" w:rsidRPr="00232EBB" w:rsidRDefault="008D0C91" w:rsidP="00457447">
      <w:pPr>
        <w:spacing w:line="360" w:lineRule="auto"/>
        <w:jc w:val="both"/>
        <w:rPr>
          <w:rFonts w:eastAsia="Calibri"/>
          <w:noProof/>
          <w:lang w:val="es-DO"/>
        </w:rPr>
      </w:pPr>
      <w:r w:rsidRPr="00232EBB">
        <w:rPr>
          <w:rFonts w:eastAsia="Calibri"/>
          <w:noProof/>
          <w:lang w:val="es-DO"/>
        </w:rPr>
        <w:t>Con esta iniciativa fortalecemos la gestión de la información en la institución.</w:t>
      </w:r>
    </w:p>
    <w:p w14:paraId="0882D70B" w14:textId="77777777" w:rsidR="008D0C91" w:rsidRPr="00232EBB" w:rsidRDefault="008D0C91" w:rsidP="008D0C91">
      <w:pPr>
        <w:spacing w:line="360" w:lineRule="auto"/>
        <w:jc w:val="both"/>
        <w:rPr>
          <w:rFonts w:eastAsia="Calibri"/>
          <w:noProof/>
          <w:lang w:val="es-DO"/>
        </w:rPr>
      </w:pPr>
      <w:r w:rsidRPr="00232EBB">
        <w:rPr>
          <w:rFonts w:eastAsia="Calibri"/>
          <w:noProof/>
          <w:lang w:val="es-DO"/>
        </w:rPr>
        <w:t>A su vez, el departamento brindó acompañamiento especializado en proyectos liderados por diferentes áreas, con el objetivo de asegurar la correcta implementación de controles y el cumplimiento de los lineamientos institucionales de ciberseguridad.</w:t>
      </w:r>
    </w:p>
    <w:p w14:paraId="7D114232" w14:textId="77777777" w:rsidR="008D0C91" w:rsidRPr="00232EBB" w:rsidRDefault="008D0C91" w:rsidP="008D0C91">
      <w:pPr>
        <w:spacing w:line="360" w:lineRule="auto"/>
        <w:jc w:val="both"/>
        <w:rPr>
          <w:rFonts w:eastAsia="Calibri"/>
          <w:noProof/>
          <w:lang w:val="es-DO"/>
        </w:rPr>
      </w:pPr>
      <w:r w:rsidRPr="00232EBB">
        <w:rPr>
          <w:b/>
          <w:bCs/>
          <w:lang w:val="es-ES"/>
        </w:rPr>
        <w:t>Tales como</w:t>
      </w:r>
      <w:r w:rsidRPr="00232EBB">
        <w:rPr>
          <w:rFonts w:eastAsia="Calibri"/>
          <w:noProof/>
          <w:lang w:val="es-DO"/>
        </w:rPr>
        <w:t>:</w:t>
      </w:r>
    </w:p>
    <w:p w14:paraId="1A257B71" w14:textId="46F6D0E8" w:rsidR="008D0C91" w:rsidRPr="00232EBB" w:rsidRDefault="008D0C91" w:rsidP="000E2299">
      <w:pPr>
        <w:pStyle w:val="ListParagraph"/>
        <w:numPr>
          <w:ilvl w:val="0"/>
          <w:numId w:val="26"/>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Nueva p</w:t>
      </w:r>
      <w:r w:rsidR="00E90CE7" w:rsidRPr="00232EBB">
        <w:rPr>
          <w:rFonts w:ascii="Times New Roman" w:hAnsi="Times New Roman"/>
          <w:noProof/>
          <w:color w:val="767171"/>
          <w:spacing w:val="20"/>
          <w:sz w:val="24"/>
          <w:szCs w:val="24"/>
        </w:rPr>
        <w:t>á</w:t>
      </w:r>
      <w:r w:rsidRPr="00232EBB">
        <w:rPr>
          <w:rFonts w:ascii="Times New Roman" w:hAnsi="Times New Roman"/>
          <w:noProof/>
          <w:color w:val="767171"/>
          <w:spacing w:val="20"/>
          <w:sz w:val="24"/>
          <w:szCs w:val="24"/>
        </w:rPr>
        <w:t>gina web de la Tesorería de la Seguridad Social/Oficina Virtual (OVF)</w:t>
      </w:r>
    </w:p>
    <w:p w14:paraId="2AFD5A85" w14:textId="77777777" w:rsidR="008D0C91" w:rsidRPr="00232EBB" w:rsidRDefault="008D0C91" w:rsidP="008D0C91">
      <w:pPr>
        <w:spacing w:line="360" w:lineRule="auto"/>
        <w:contextualSpacing/>
        <w:jc w:val="both"/>
        <w:rPr>
          <w:b/>
          <w:bCs/>
          <w:lang w:val="es-ES"/>
        </w:rPr>
      </w:pPr>
      <w:r w:rsidRPr="00232EBB">
        <w:rPr>
          <w:b/>
          <w:bCs/>
          <w:lang w:val="es-ES"/>
        </w:rPr>
        <w:t xml:space="preserve">Principales aportes </w:t>
      </w:r>
    </w:p>
    <w:p w14:paraId="54866A32" w14:textId="77777777" w:rsidR="008D0C91" w:rsidRPr="00232EBB" w:rsidRDefault="008D0C91" w:rsidP="000E2299">
      <w:pPr>
        <w:pStyle w:val="ListParagraph"/>
        <w:numPr>
          <w:ilvl w:val="0"/>
          <w:numId w:val="30"/>
        </w:numPr>
        <w:spacing w:line="360" w:lineRule="auto"/>
        <w:rPr>
          <w:rFonts w:ascii="Times New Roman" w:hAnsi="Times New Roman"/>
          <w:noProof/>
          <w:color w:val="767171"/>
          <w:spacing w:val="20"/>
          <w:sz w:val="24"/>
          <w:szCs w:val="24"/>
        </w:rPr>
      </w:pPr>
      <w:bookmarkStart w:id="234" w:name="_Hlk216944759"/>
      <w:r w:rsidRPr="00232EBB">
        <w:rPr>
          <w:rFonts w:ascii="Times New Roman" w:hAnsi="Times New Roman"/>
          <w:noProof/>
          <w:color w:val="767171"/>
          <w:spacing w:val="20"/>
          <w:sz w:val="24"/>
          <w:szCs w:val="24"/>
        </w:rPr>
        <w:t>Evaluación y fortalecimiento de la seguridad de la nueva página web y sus servicios públicos. Realización de pruebas de vulnerabilidades y ajustes de protección (WAF, certificados, headers, APIs).</w:t>
      </w:r>
    </w:p>
    <w:bookmarkEnd w:id="234"/>
    <w:p w14:paraId="43A4DDC0" w14:textId="77777777" w:rsidR="008D0C91" w:rsidRPr="00232EBB" w:rsidRDefault="008D0C91" w:rsidP="000E2299">
      <w:pPr>
        <w:pStyle w:val="ListParagraph"/>
        <w:numPr>
          <w:ilvl w:val="0"/>
          <w:numId w:val="30"/>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 xml:space="preserve">Configuración técnica y apoyo directo en la publicación pública de la página, la OFV y los módulos de Quimera. </w:t>
      </w:r>
    </w:p>
    <w:p w14:paraId="26DBE392" w14:textId="77777777" w:rsidR="008D0C91" w:rsidRPr="00232EBB" w:rsidRDefault="008D0C91" w:rsidP="000E2299">
      <w:pPr>
        <w:pStyle w:val="ListParagraph"/>
        <w:numPr>
          <w:ilvl w:val="0"/>
          <w:numId w:val="30"/>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 xml:space="preserve">Revisión de autenticación, integraciones y cifrado en la nueva OFV. </w:t>
      </w:r>
    </w:p>
    <w:p w14:paraId="5CB62331" w14:textId="77777777" w:rsidR="008D0C91" w:rsidRPr="00232EBB" w:rsidRDefault="008D0C91" w:rsidP="000E2299">
      <w:pPr>
        <w:pStyle w:val="ListParagraph"/>
        <w:numPr>
          <w:ilvl w:val="0"/>
          <w:numId w:val="30"/>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Supervisión del despliegue productivo y monitoreo inicial de las plataformas.</w:t>
      </w:r>
    </w:p>
    <w:p w14:paraId="5270EFC2" w14:textId="77777777" w:rsidR="008D0C91" w:rsidRPr="00232EBB" w:rsidRDefault="008D0C91" w:rsidP="008D0C91">
      <w:pPr>
        <w:spacing w:line="360" w:lineRule="auto"/>
        <w:contextualSpacing/>
        <w:jc w:val="both"/>
        <w:rPr>
          <w:b/>
          <w:bCs/>
          <w:lang w:val="es-ES"/>
        </w:rPr>
      </w:pPr>
      <w:r w:rsidRPr="00232EBB">
        <w:rPr>
          <w:b/>
          <w:bCs/>
          <w:lang w:val="es-ES"/>
        </w:rPr>
        <w:lastRenderedPageBreak/>
        <w:t>Resultados</w:t>
      </w:r>
    </w:p>
    <w:p w14:paraId="51AAC0F7" w14:textId="77777777" w:rsidR="008D0C91" w:rsidRPr="00232EBB" w:rsidRDefault="008D0C91" w:rsidP="000E2299">
      <w:pPr>
        <w:pStyle w:val="ListParagraph"/>
        <w:numPr>
          <w:ilvl w:val="0"/>
          <w:numId w:val="29"/>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Mayor seguridad y estabilidad en los servicios publicados al público.</w:t>
      </w:r>
    </w:p>
    <w:p w14:paraId="1EB99541" w14:textId="77777777" w:rsidR="008D0C91" w:rsidRPr="00232EBB" w:rsidRDefault="008D0C91" w:rsidP="000E2299">
      <w:pPr>
        <w:pStyle w:val="ListParagraph"/>
        <w:numPr>
          <w:ilvl w:val="0"/>
          <w:numId w:val="29"/>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 xml:space="preserve">Reducción de vulnerabilidades antes del lanzamiento. </w:t>
      </w:r>
    </w:p>
    <w:p w14:paraId="509FAA11" w14:textId="77777777" w:rsidR="008D0C91" w:rsidRPr="00232EBB" w:rsidRDefault="008D0C91" w:rsidP="000E2299">
      <w:pPr>
        <w:pStyle w:val="ListParagraph"/>
        <w:numPr>
          <w:ilvl w:val="0"/>
          <w:numId w:val="29"/>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Fortalecimiento de la infraestructura digital de la TSS.</w:t>
      </w:r>
    </w:p>
    <w:p w14:paraId="3C2698F2" w14:textId="0FE0232C" w:rsidR="008D0C91" w:rsidRPr="00232EBB" w:rsidRDefault="008D0C91" w:rsidP="008D0C91">
      <w:pPr>
        <w:spacing w:line="360" w:lineRule="auto"/>
        <w:contextualSpacing/>
        <w:jc w:val="both"/>
        <w:rPr>
          <w:b/>
          <w:bCs/>
          <w:lang w:val="es-ES"/>
        </w:rPr>
      </w:pPr>
      <w:bookmarkStart w:id="235" w:name="_Hlk216944786"/>
      <w:r w:rsidRPr="00232EBB">
        <w:rPr>
          <w:b/>
          <w:bCs/>
          <w:lang w:val="es-ES"/>
        </w:rPr>
        <w:t>Implementación del Software de Inversiones</w:t>
      </w:r>
    </w:p>
    <w:p w14:paraId="4B9BBC8D" w14:textId="18C25C7E" w:rsidR="00E11C86" w:rsidRPr="00232EBB" w:rsidRDefault="008D0C91" w:rsidP="008D0C91">
      <w:pPr>
        <w:spacing w:line="360" w:lineRule="auto"/>
        <w:contextualSpacing/>
        <w:jc w:val="both"/>
        <w:rPr>
          <w:rFonts w:eastAsia="Calibri"/>
          <w:noProof/>
          <w:lang w:val="es-DO"/>
        </w:rPr>
      </w:pPr>
      <w:r w:rsidRPr="00232EBB">
        <w:rPr>
          <w:rFonts w:eastAsia="Calibri"/>
          <w:noProof/>
          <w:lang w:val="es-DO"/>
        </w:rPr>
        <w:t>Participación continua en la implementación y configuración del software inversiones adquirido para la Dirección Financiera.</w:t>
      </w:r>
    </w:p>
    <w:p w14:paraId="37A6EC42" w14:textId="77777777" w:rsidR="003B485A" w:rsidRPr="00232EBB" w:rsidRDefault="003B485A" w:rsidP="008D0C91">
      <w:pPr>
        <w:spacing w:line="360" w:lineRule="auto"/>
        <w:contextualSpacing/>
        <w:jc w:val="both"/>
        <w:rPr>
          <w:rFonts w:eastAsia="Calibri"/>
          <w:noProof/>
          <w:lang w:val="es-DO"/>
        </w:rPr>
      </w:pPr>
    </w:p>
    <w:p w14:paraId="563DC7C9" w14:textId="77777777" w:rsidR="003B485A" w:rsidRPr="00232EBB" w:rsidRDefault="003B485A" w:rsidP="008D0C91">
      <w:pPr>
        <w:spacing w:line="360" w:lineRule="auto"/>
        <w:contextualSpacing/>
        <w:jc w:val="both"/>
        <w:rPr>
          <w:rFonts w:eastAsia="Calibri"/>
          <w:noProof/>
          <w:lang w:val="es-DO"/>
        </w:rPr>
      </w:pPr>
    </w:p>
    <w:p w14:paraId="26289F0B" w14:textId="77777777" w:rsidR="003B485A" w:rsidRPr="00232EBB" w:rsidRDefault="003B485A" w:rsidP="008D0C91">
      <w:pPr>
        <w:spacing w:line="360" w:lineRule="auto"/>
        <w:contextualSpacing/>
        <w:jc w:val="both"/>
        <w:rPr>
          <w:rFonts w:eastAsia="Calibri"/>
          <w:noProof/>
          <w:lang w:val="es-DO"/>
        </w:rPr>
      </w:pPr>
    </w:p>
    <w:p w14:paraId="65CF0A8D" w14:textId="12150634" w:rsidR="008D0C91" w:rsidRPr="00232EBB" w:rsidRDefault="008D0C91" w:rsidP="008D0C91">
      <w:pPr>
        <w:spacing w:line="360" w:lineRule="auto"/>
        <w:contextualSpacing/>
        <w:jc w:val="both"/>
        <w:rPr>
          <w:b/>
          <w:bCs/>
          <w:lang w:val="es-ES"/>
        </w:rPr>
      </w:pPr>
      <w:r w:rsidRPr="00232EBB">
        <w:rPr>
          <w:b/>
          <w:bCs/>
          <w:lang w:val="es-ES"/>
        </w:rPr>
        <w:t>Principales aportes:</w:t>
      </w:r>
    </w:p>
    <w:p w14:paraId="52D4BA5C" w14:textId="77777777" w:rsidR="008D0C91" w:rsidRPr="00232EBB" w:rsidRDefault="008D0C91" w:rsidP="000E2299">
      <w:pPr>
        <w:pStyle w:val="ListParagraph"/>
        <w:numPr>
          <w:ilvl w:val="0"/>
          <w:numId w:val="27"/>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Acompañamiento técnico durante todo el proceso de instalación y despliegue.</w:t>
      </w:r>
    </w:p>
    <w:p w14:paraId="45FE2DEB" w14:textId="77777777" w:rsidR="008D0C91" w:rsidRPr="00232EBB" w:rsidRDefault="008D0C91" w:rsidP="000E2299">
      <w:pPr>
        <w:pStyle w:val="ListParagraph"/>
        <w:numPr>
          <w:ilvl w:val="0"/>
          <w:numId w:val="27"/>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 xml:space="preserve">Validación de configuraciones para garantizar seguridad, integridad y disponibilidad del sistema. </w:t>
      </w:r>
    </w:p>
    <w:p w14:paraId="433469B0" w14:textId="77777777" w:rsidR="008D0C91" w:rsidRPr="00232EBB" w:rsidRDefault="008D0C91" w:rsidP="000E2299">
      <w:pPr>
        <w:pStyle w:val="ListParagraph"/>
        <w:numPr>
          <w:ilvl w:val="0"/>
          <w:numId w:val="27"/>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 xml:space="preserve">Revisión de accesos, roles y controles de autenticación. </w:t>
      </w:r>
    </w:p>
    <w:p w14:paraId="5AAE5968" w14:textId="73C8D5BC" w:rsidR="00E90CE7" w:rsidRPr="00232EBB" w:rsidRDefault="008D0C91" w:rsidP="00E979F0">
      <w:pPr>
        <w:pStyle w:val="ListParagraph"/>
        <w:numPr>
          <w:ilvl w:val="0"/>
          <w:numId w:val="27"/>
        </w:numPr>
        <w:spacing w:line="360" w:lineRule="auto"/>
        <w:rPr>
          <w:rFonts w:ascii="Times New Roman" w:hAnsi="Times New Roman"/>
          <w:b/>
          <w:bCs/>
          <w:lang w:val="es-ES"/>
        </w:rPr>
      </w:pPr>
      <w:r w:rsidRPr="00232EBB">
        <w:rPr>
          <w:rFonts w:ascii="Times New Roman" w:hAnsi="Times New Roman"/>
          <w:noProof/>
          <w:color w:val="767171"/>
          <w:spacing w:val="20"/>
          <w:sz w:val="24"/>
          <w:szCs w:val="24"/>
        </w:rPr>
        <w:t xml:space="preserve">Soporte en pruebas funcionales y de operación para asegurar un rendimiento adecuado. </w:t>
      </w:r>
      <w:bookmarkEnd w:id="235"/>
    </w:p>
    <w:p w14:paraId="14994D3D" w14:textId="66BC2398" w:rsidR="008D0C91" w:rsidRPr="00232EBB" w:rsidRDefault="008D0C91" w:rsidP="008D0C91">
      <w:pPr>
        <w:spacing w:line="360" w:lineRule="auto"/>
        <w:contextualSpacing/>
        <w:jc w:val="both"/>
        <w:rPr>
          <w:b/>
          <w:bCs/>
          <w:lang w:val="es-ES"/>
        </w:rPr>
      </w:pPr>
      <w:r w:rsidRPr="00232EBB">
        <w:rPr>
          <w:b/>
          <w:bCs/>
          <w:lang w:val="es-ES"/>
        </w:rPr>
        <w:t>Implementación Herramienta ProDoctivity</w:t>
      </w:r>
    </w:p>
    <w:p w14:paraId="5F2DA8DB" w14:textId="14690974" w:rsidR="00457447" w:rsidRPr="00232EBB" w:rsidRDefault="008D0C91" w:rsidP="008D0C91">
      <w:pPr>
        <w:spacing w:line="360" w:lineRule="auto"/>
        <w:contextualSpacing/>
        <w:jc w:val="both"/>
        <w:rPr>
          <w:rFonts w:eastAsia="Calibri"/>
          <w:noProof/>
          <w:lang w:val="es-DO"/>
        </w:rPr>
      </w:pPr>
      <w:r w:rsidRPr="00232EBB">
        <w:rPr>
          <w:rFonts w:eastAsia="Calibri"/>
          <w:noProof/>
          <w:lang w:val="es-DO"/>
        </w:rPr>
        <w:t>Participación constante en la implementación y configuración de la herramienta ProDoctivity, enfocada en la mejora de procesos internos.</w:t>
      </w:r>
    </w:p>
    <w:p w14:paraId="7ECA1CA6" w14:textId="77777777" w:rsidR="008D0C91" w:rsidRPr="00232EBB" w:rsidRDefault="008D0C91" w:rsidP="008D0C91">
      <w:pPr>
        <w:spacing w:line="360" w:lineRule="auto"/>
        <w:contextualSpacing/>
        <w:jc w:val="both"/>
        <w:rPr>
          <w:b/>
          <w:bCs/>
          <w:lang w:val="es-ES"/>
        </w:rPr>
      </w:pPr>
      <w:r w:rsidRPr="00232EBB">
        <w:rPr>
          <w:b/>
          <w:bCs/>
          <w:lang w:val="es-ES"/>
        </w:rPr>
        <w:t>Principales aportes:</w:t>
      </w:r>
    </w:p>
    <w:p w14:paraId="2ABA0670" w14:textId="77777777" w:rsidR="008D0C91" w:rsidRPr="00232EBB" w:rsidRDefault="008D0C91" w:rsidP="000E2299">
      <w:pPr>
        <w:pStyle w:val="ListParagraph"/>
        <w:numPr>
          <w:ilvl w:val="0"/>
          <w:numId w:val="28"/>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Configuración inicial de la herramienta y adecuación a los requerimientos institucionales.</w:t>
      </w:r>
    </w:p>
    <w:p w14:paraId="3D95D386" w14:textId="77777777" w:rsidR="008D0C91" w:rsidRPr="00232EBB" w:rsidRDefault="008D0C91" w:rsidP="000E2299">
      <w:pPr>
        <w:pStyle w:val="ListParagraph"/>
        <w:numPr>
          <w:ilvl w:val="0"/>
          <w:numId w:val="28"/>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Revisión de seguridad y análisis de comunicaciones entre la red interna y sus módulos.</w:t>
      </w:r>
    </w:p>
    <w:p w14:paraId="37E0978B" w14:textId="77777777" w:rsidR="008D0C91" w:rsidRPr="00232EBB" w:rsidRDefault="008D0C91" w:rsidP="000E2299">
      <w:pPr>
        <w:pStyle w:val="ListParagraph"/>
        <w:numPr>
          <w:ilvl w:val="0"/>
          <w:numId w:val="28"/>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Asistencia continua en pruebas, ajustes técnicos y estabilización de la plataforma.</w:t>
      </w:r>
    </w:p>
    <w:p w14:paraId="4C354E59" w14:textId="77777777" w:rsidR="008D0C91" w:rsidRPr="00232EBB" w:rsidRDefault="008D0C91" w:rsidP="008D0C91">
      <w:pPr>
        <w:spacing w:line="360" w:lineRule="auto"/>
        <w:contextualSpacing/>
        <w:jc w:val="both"/>
        <w:rPr>
          <w:b/>
          <w:bCs/>
          <w:lang w:val="es-ES"/>
        </w:rPr>
      </w:pPr>
      <w:r w:rsidRPr="00232EBB">
        <w:rPr>
          <w:b/>
          <w:bCs/>
          <w:lang w:val="es-ES"/>
        </w:rPr>
        <w:lastRenderedPageBreak/>
        <w:t>Implementación Dynamics Finance.</w:t>
      </w:r>
    </w:p>
    <w:p w14:paraId="102C5363" w14:textId="1C9C6A81" w:rsidR="008A6E85" w:rsidRPr="00232EBB" w:rsidRDefault="008D0C91" w:rsidP="008D0C91">
      <w:pPr>
        <w:spacing w:line="360" w:lineRule="auto"/>
        <w:contextualSpacing/>
        <w:jc w:val="both"/>
        <w:rPr>
          <w:rFonts w:eastAsia="Calibri"/>
          <w:noProof/>
          <w:lang w:val="es-DO"/>
        </w:rPr>
      </w:pPr>
      <w:r w:rsidRPr="00232EBB">
        <w:rPr>
          <w:rFonts w:eastAsia="Calibri"/>
          <w:noProof/>
          <w:lang w:val="es-DO"/>
        </w:rPr>
        <w:t>Participación en la reimplementación de la plataforma y optimizar la gestión de usuarios y permisos para asegurar un funcionamiento adecuado y controlado.</w:t>
      </w:r>
    </w:p>
    <w:p w14:paraId="7EDF35AE" w14:textId="77777777" w:rsidR="00E90CE7" w:rsidRPr="00232EBB" w:rsidRDefault="00E90CE7" w:rsidP="008D0C91">
      <w:pPr>
        <w:spacing w:line="360" w:lineRule="auto"/>
        <w:contextualSpacing/>
        <w:jc w:val="both"/>
        <w:rPr>
          <w:b/>
          <w:bCs/>
          <w:lang w:val="es-ES"/>
        </w:rPr>
      </w:pPr>
    </w:p>
    <w:p w14:paraId="38ED9A3E" w14:textId="6DA8C6CA" w:rsidR="008D0C91" w:rsidRPr="00232EBB" w:rsidRDefault="008D0C91" w:rsidP="008D0C91">
      <w:pPr>
        <w:spacing w:line="360" w:lineRule="auto"/>
        <w:contextualSpacing/>
        <w:jc w:val="both"/>
        <w:rPr>
          <w:b/>
          <w:bCs/>
          <w:lang w:val="es-ES"/>
        </w:rPr>
      </w:pPr>
      <w:r w:rsidRPr="00232EBB">
        <w:rPr>
          <w:b/>
          <w:bCs/>
          <w:lang w:val="es-ES"/>
        </w:rPr>
        <w:t>Principales aportes:</w:t>
      </w:r>
    </w:p>
    <w:p w14:paraId="0E431B9C" w14:textId="089DCE20" w:rsidR="008D0C91" w:rsidRPr="00232EBB" w:rsidRDefault="008D0C91" w:rsidP="000E2299">
      <w:pPr>
        <w:pStyle w:val="ListParagraph"/>
        <w:numPr>
          <w:ilvl w:val="0"/>
          <w:numId w:val="31"/>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Apoyo en el proceso de reimplementación de la plataforma.</w:t>
      </w:r>
    </w:p>
    <w:p w14:paraId="3F86F668" w14:textId="77777777" w:rsidR="008D0C91" w:rsidRPr="00232EBB" w:rsidRDefault="008D0C91" w:rsidP="000E2299">
      <w:pPr>
        <w:pStyle w:val="ListParagraph"/>
        <w:numPr>
          <w:ilvl w:val="0"/>
          <w:numId w:val="31"/>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Creación y registro de nuevos usuarios.</w:t>
      </w:r>
    </w:p>
    <w:p w14:paraId="37A7B93E" w14:textId="77777777" w:rsidR="008D0C91" w:rsidRPr="00232EBB" w:rsidRDefault="008D0C91" w:rsidP="000E2299">
      <w:pPr>
        <w:pStyle w:val="ListParagraph"/>
        <w:numPr>
          <w:ilvl w:val="0"/>
          <w:numId w:val="31"/>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Otorgamiento y ajuste de permisos según roles y necesidades operativas.</w:t>
      </w:r>
    </w:p>
    <w:p w14:paraId="59638010" w14:textId="77777777" w:rsidR="00E82B86" w:rsidRPr="00232EBB" w:rsidRDefault="00E82B86" w:rsidP="00E82B86">
      <w:pPr>
        <w:pStyle w:val="Heading1"/>
        <w:spacing w:before="100"/>
        <w:jc w:val="both"/>
        <w:rPr>
          <w:rFonts w:eastAsia="Calibri" w:cs="Times New Roman"/>
          <w:bCs/>
          <w:color w:val="767171"/>
          <w:sz w:val="24"/>
          <w:szCs w:val="24"/>
          <w:lang w:val="es-ES"/>
        </w:rPr>
      </w:pPr>
      <w:bookmarkStart w:id="236" w:name="_Toc216952253"/>
      <w:r w:rsidRPr="00232EBB">
        <w:rPr>
          <w:rFonts w:eastAsia="Calibri" w:cs="Times New Roman"/>
          <w:bCs/>
          <w:color w:val="767171"/>
          <w:sz w:val="24"/>
          <w:szCs w:val="24"/>
          <w:lang w:val="es-ES"/>
        </w:rPr>
        <w:t>Departamento de Ciberseguridad</w:t>
      </w:r>
      <w:bookmarkEnd w:id="229"/>
      <w:bookmarkEnd w:id="230"/>
      <w:bookmarkEnd w:id="231"/>
      <w:bookmarkEnd w:id="232"/>
      <w:bookmarkEnd w:id="233"/>
      <w:bookmarkEnd w:id="236"/>
    </w:p>
    <w:p w14:paraId="498556BB" w14:textId="77777777" w:rsidR="008D0C91" w:rsidRPr="00232EBB" w:rsidRDefault="008D0C91" w:rsidP="00457447">
      <w:pPr>
        <w:spacing w:line="360" w:lineRule="auto"/>
        <w:jc w:val="both"/>
        <w:rPr>
          <w:rFonts w:eastAsia="Calibri"/>
          <w:noProof/>
          <w:lang w:val="es-DO"/>
        </w:rPr>
      </w:pPr>
      <w:bookmarkStart w:id="237" w:name="_Hlk153448994"/>
      <w:bookmarkStart w:id="238" w:name="_Toc184981204"/>
      <w:r w:rsidRPr="00232EBB">
        <w:rPr>
          <w:rFonts w:eastAsia="Calibri"/>
          <w:noProof/>
          <w:lang w:val="es-DO"/>
        </w:rPr>
        <w:t>La Tesorería de la Seguridad Social (TSS) desempeña un papel fundamental en la gestión eficiente de los recursos destinados a garantizar la seguridad y bienestar de la población y tiene a su cargo el proceso de recaudo, distribución y pago de las cotizaciones del Sistema Dominicano de Seguridad Social (SDSS), así como del Sistema Único de Información y Recaudo (SUIR).</w:t>
      </w:r>
    </w:p>
    <w:p w14:paraId="1B5D1B27" w14:textId="77777777" w:rsidR="008D0C91" w:rsidRPr="00232EBB" w:rsidRDefault="008D0C91" w:rsidP="00457447">
      <w:pPr>
        <w:spacing w:line="360" w:lineRule="auto"/>
        <w:jc w:val="both"/>
        <w:rPr>
          <w:rFonts w:eastAsia="Calibri"/>
          <w:noProof/>
          <w:lang w:val="es-DO"/>
        </w:rPr>
      </w:pPr>
      <w:bookmarkStart w:id="239" w:name="_Hlk216945012"/>
      <w:r w:rsidRPr="00232EBB">
        <w:rPr>
          <w:rFonts w:eastAsia="Calibri"/>
          <w:noProof/>
          <w:lang w:val="es-DO"/>
        </w:rPr>
        <w:t>Como administradora del Sistema Único de Información y Recaudo (SUIR), donde reposa la base de datos del SDSS, propiedad exclusiva del Estado Dominicano, la cual está integrada por la información confidencial obtenida y resguardada por la TSS del SDSS, es primordial garantizar, para el cumplimiento adecuado de las obligaciones puestas a su cargo los pilares de disponibilidad, integridad, confidencialidad, autenticación, detección y respuesta rápida, prevención de amenazas, entre otros que sustentan la seguridad y ciberseguridad de la información, así como contar con herramientas tecnológicas y mecanismos que protejan su contenido.</w:t>
      </w:r>
    </w:p>
    <w:p w14:paraId="5DE76B20" w14:textId="77777777" w:rsidR="008D0C91" w:rsidRPr="00232EBB" w:rsidRDefault="008D0C91" w:rsidP="00457447">
      <w:pPr>
        <w:spacing w:line="360" w:lineRule="auto"/>
        <w:jc w:val="both"/>
        <w:rPr>
          <w:rFonts w:eastAsia="Calibri"/>
          <w:noProof/>
          <w:lang w:val="es-DO"/>
        </w:rPr>
      </w:pPr>
      <w:bookmarkStart w:id="240" w:name="_Hlk216945001"/>
      <w:bookmarkEnd w:id="239"/>
      <w:r w:rsidRPr="00232EBB">
        <w:rPr>
          <w:rFonts w:eastAsia="Calibri"/>
          <w:noProof/>
          <w:lang w:val="es-DO"/>
        </w:rPr>
        <w:t xml:space="preserve">Debido a esto se identificó la necesidad de establecer un Plan Estratégico de Ciberseguridad que definiera estrategias de Seguridad de la Información enfocadas en Ciberseguridad, con un </w:t>
      </w:r>
      <w:r w:rsidRPr="00232EBB">
        <w:rPr>
          <w:rFonts w:eastAsia="Calibri"/>
          <w:noProof/>
          <w:lang w:val="es-DO"/>
        </w:rPr>
        <w:lastRenderedPageBreak/>
        <w:t>enfoque moderno, actualizado y funcional, así como también definir el Modelo de Gobierno que permita gestionar dicho plan y las iniciativas propuestas la Dirección de Normas, Cumplimiento y Ciberseguridad.</w:t>
      </w:r>
    </w:p>
    <w:p w14:paraId="1205A12A" w14:textId="77777777" w:rsidR="008D0C91" w:rsidRPr="00232EBB" w:rsidRDefault="008D0C91" w:rsidP="00457447">
      <w:pPr>
        <w:pStyle w:val="Heading1"/>
        <w:spacing w:before="100"/>
        <w:jc w:val="both"/>
        <w:rPr>
          <w:rFonts w:eastAsia="Calibri" w:cs="Times New Roman"/>
          <w:bCs/>
          <w:color w:val="767171"/>
          <w:sz w:val="24"/>
          <w:szCs w:val="24"/>
          <w:lang w:val="es-ES"/>
        </w:rPr>
      </w:pPr>
      <w:bookmarkStart w:id="241" w:name="_Toc216952254"/>
      <w:bookmarkEnd w:id="240"/>
      <w:r w:rsidRPr="00232EBB">
        <w:rPr>
          <w:rFonts w:eastAsia="Calibri" w:cs="Times New Roman"/>
          <w:bCs/>
          <w:color w:val="767171"/>
          <w:sz w:val="24"/>
          <w:szCs w:val="24"/>
          <w:lang w:val="es-ES"/>
        </w:rPr>
        <w:t>Dicho plan tuvo como objetivos específicos:</w:t>
      </w:r>
      <w:bookmarkEnd w:id="241"/>
    </w:p>
    <w:p w14:paraId="7D04895E" w14:textId="43E4C2ED" w:rsidR="008D0C91" w:rsidRPr="00232EBB" w:rsidRDefault="008D0C91" w:rsidP="000E2299">
      <w:pPr>
        <w:numPr>
          <w:ilvl w:val="0"/>
          <w:numId w:val="32"/>
        </w:numPr>
        <w:spacing w:line="360" w:lineRule="auto"/>
        <w:contextualSpacing/>
        <w:jc w:val="both"/>
        <w:rPr>
          <w:rFonts w:eastAsia="Calibri"/>
          <w:noProof/>
          <w:lang w:val="es-DO"/>
        </w:rPr>
      </w:pPr>
      <w:r w:rsidRPr="00232EBB">
        <w:rPr>
          <w:rFonts w:eastAsia="Calibri"/>
          <w:noProof/>
          <w:lang w:val="es-DO"/>
        </w:rPr>
        <w:t xml:space="preserve">Identificar el nivel actual de ciberseguridad vs los marcos de referencia mencionados, así como los requerimientos regulatorios aplicables, incluyendo la del </w:t>
      </w:r>
      <w:r w:rsidR="00E90CE7" w:rsidRPr="00232EBB">
        <w:rPr>
          <w:rFonts w:eastAsia="Calibri"/>
          <w:noProof/>
          <w:lang w:val="es-DO"/>
        </w:rPr>
        <w:t>B</w:t>
      </w:r>
      <w:r w:rsidRPr="00232EBB">
        <w:rPr>
          <w:rFonts w:eastAsia="Calibri"/>
          <w:noProof/>
          <w:lang w:val="es-DO"/>
        </w:rPr>
        <w:t xml:space="preserve">anco </w:t>
      </w:r>
      <w:r w:rsidR="00E90CE7" w:rsidRPr="00232EBB">
        <w:rPr>
          <w:rFonts w:eastAsia="Calibri"/>
          <w:noProof/>
          <w:lang w:val="es-DO"/>
        </w:rPr>
        <w:t>C</w:t>
      </w:r>
      <w:r w:rsidRPr="00232EBB">
        <w:rPr>
          <w:rFonts w:eastAsia="Calibri"/>
          <w:noProof/>
          <w:lang w:val="es-DO"/>
        </w:rPr>
        <w:t>entral.</w:t>
      </w:r>
    </w:p>
    <w:p w14:paraId="3216D56F" w14:textId="77777777" w:rsidR="008D0C91" w:rsidRPr="00232EBB" w:rsidRDefault="008D0C91" w:rsidP="00E11C86">
      <w:pPr>
        <w:numPr>
          <w:ilvl w:val="0"/>
          <w:numId w:val="33"/>
        </w:numPr>
        <w:spacing w:line="360" w:lineRule="auto"/>
        <w:contextualSpacing/>
        <w:jc w:val="both"/>
        <w:rPr>
          <w:rFonts w:eastAsia="Calibri"/>
          <w:noProof/>
          <w:lang w:val="es-DO"/>
        </w:rPr>
      </w:pPr>
      <w:r w:rsidRPr="00232EBB">
        <w:rPr>
          <w:rFonts w:eastAsia="Calibri"/>
          <w:noProof/>
          <w:lang w:val="es-DO"/>
        </w:rPr>
        <w:t>Desarrollar el marco de gobierno de ciberseguridad y el Plan Estratégico de Seguridad de la Información que permitan alcanzar el nivel de madurez y requerido.</w:t>
      </w:r>
    </w:p>
    <w:p w14:paraId="2E947702" w14:textId="391E24F2" w:rsidR="00AA7D5D" w:rsidRPr="00232EBB" w:rsidRDefault="008D0C91" w:rsidP="00900074">
      <w:pPr>
        <w:numPr>
          <w:ilvl w:val="0"/>
          <w:numId w:val="33"/>
        </w:numPr>
        <w:spacing w:after="0" w:line="360" w:lineRule="auto"/>
        <w:contextualSpacing/>
        <w:jc w:val="both"/>
        <w:rPr>
          <w:rFonts w:eastAsia="Calibri"/>
          <w:noProof/>
          <w:lang w:val="es-DO"/>
        </w:rPr>
      </w:pPr>
      <w:r w:rsidRPr="00232EBB">
        <w:rPr>
          <w:rFonts w:eastAsia="Calibri"/>
          <w:noProof/>
          <w:lang w:val="es-DO"/>
        </w:rPr>
        <w:t>Definir y establecer el nivel de implementación los controles de ciberseguridad requeridos de acuerdo con el plan de seguridad definido.</w:t>
      </w:r>
    </w:p>
    <w:p w14:paraId="19D13F14" w14:textId="77777777" w:rsidR="00E90CE7" w:rsidRPr="00232EBB" w:rsidRDefault="00E90CE7" w:rsidP="00E90CE7">
      <w:pPr>
        <w:spacing w:after="0" w:line="360" w:lineRule="auto"/>
        <w:ind w:left="720"/>
        <w:contextualSpacing/>
        <w:jc w:val="both"/>
        <w:rPr>
          <w:rFonts w:eastAsia="Calibri"/>
          <w:noProof/>
          <w:lang w:val="es-DO"/>
        </w:rPr>
      </w:pPr>
    </w:p>
    <w:p w14:paraId="6C238B2C" w14:textId="3DF301AF" w:rsidR="008D0C91" w:rsidRPr="00232EBB" w:rsidRDefault="008D0C91" w:rsidP="00FF4316">
      <w:pPr>
        <w:spacing w:line="360" w:lineRule="auto"/>
        <w:jc w:val="both"/>
        <w:rPr>
          <w:rFonts w:eastAsia="Calibri"/>
          <w:noProof/>
          <w:lang w:val="es-DO"/>
        </w:rPr>
      </w:pPr>
      <w:bookmarkStart w:id="242" w:name="_Hlk216945083"/>
      <w:r w:rsidRPr="00232EBB">
        <w:rPr>
          <w:rFonts w:eastAsia="Calibri"/>
          <w:noProof/>
          <w:lang w:val="es-DO"/>
        </w:rPr>
        <w:t>El modelo de gobierno de Ciberseguridad permitirá a la institución mantener una cultura en ciberseguridad actualizada que garantice la prevención de ataques cibernéticos y una gestión oportuna en potenciales incidentes de ciberseguridad, por medio de la concientización del personal, toma de decisiones y adquisición de herramientas de gestión en ciberseguridad, lo que contribuirá a un ambiente ciberseguro y confiable desde el punto de vista de las partes interesadas</w:t>
      </w:r>
      <w:bookmarkEnd w:id="242"/>
      <w:r w:rsidRPr="00232EBB">
        <w:rPr>
          <w:rFonts w:eastAsia="Calibri"/>
          <w:noProof/>
          <w:lang w:val="es-DO"/>
        </w:rPr>
        <w:t>. Con esto se buscó proyectar una imagen de gestión correcta en ciberseguridad con lo que las personas puedan confiar más en sus servicios y productos, y esto es relevante ya que la credibilidad es esencial para construir relaciones a largo plazo con los usuarios y otras partes interesadas.</w:t>
      </w:r>
    </w:p>
    <w:p w14:paraId="2A9F1457" w14:textId="77777777" w:rsidR="008D0C91" w:rsidRPr="00232EBB" w:rsidRDefault="008D0C91" w:rsidP="00FF4316">
      <w:pPr>
        <w:spacing w:line="360" w:lineRule="auto"/>
        <w:jc w:val="both"/>
        <w:rPr>
          <w:rFonts w:eastAsia="Calibri"/>
          <w:noProof/>
          <w:lang w:val="es-DO"/>
        </w:rPr>
      </w:pPr>
      <w:r w:rsidRPr="00232EBB">
        <w:rPr>
          <w:rFonts w:eastAsia="Calibri"/>
          <w:noProof/>
          <w:lang w:val="es-DO"/>
        </w:rPr>
        <w:t xml:space="preserve">El plan se dividió en 3 fases las cuales fueron ejecutadas en un 100%. Como resultado cada fase buscaba: </w:t>
      </w:r>
    </w:p>
    <w:p w14:paraId="33DC231A" w14:textId="77777777" w:rsidR="008D0C91" w:rsidRPr="00232EBB" w:rsidRDefault="008D0C91" w:rsidP="008D0C91">
      <w:pPr>
        <w:pStyle w:val="Heading1"/>
        <w:jc w:val="both"/>
        <w:rPr>
          <w:rFonts w:cs="Times New Roman"/>
          <w:spacing w:val="0"/>
          <w:sz w:val="24"/>
          <w:szCs w:val="24"/>
          <w:lang w:val="es-DO"/>
        </w:rPr>
      </w:pPr>
      <w:bookmarkStart w:id="243" w:name="_Toc216952255"/>
      <w:r w:rsidRPr="00232EBB">
        <w:rPr>
          <w:rFonts w:cs="Times New Roman"/>
          <w:spacing w:val="0"/>
          <w:sz w:val="24"/>
          <w:szCs w:val="24"/>
          <w:lang w:val="es-DO"/>
        </w:rPr>
        <w:lastRenderedPageBreak/>
        <w:t>Fase 1. Situación Actual</w:t>
      </w:r>
      <w:bookmarkEnd w:id="243"/>
    </w:p>
    <w:p w14:paraId="1F3B5997" w14:textId="77777777" w:rsidR="008D0C91" w:rsidRPr="00232EBB" w:rsidRDefault="008D0C91" w:rsidP="000E2299">
      <w:pPr>
        <w:numPr>
          <w:ilvl w:val="1"/>
          <w:numId w:val="34"/>
        </w:numPr>
        <w:spacing w:line="360" w:lineRule="auto"/>
        <w:contextualSpacing/>
        <w:jc w:val="both"/>
        <w:rPr>
          <w:rFonts w:eastAsia="Calibri"/>
          <w:noProof/>
          <w:lang w:val="es-DO"/>
        </w:rPr>
      </w:pPr>
      <w:r w:rsidRPr="00232EBB">
        <w:rPr>
          <w:rFonts w:eastAsia="Calibri"/>
          <w:noProof/>
          <w:lang w:val="es-DO"/>
        </w:rPr>
        <w:t>Identificar y seleccionar de los marcos y mejores prácticas de seguridad referenciados en la propuesta, los controles que integrarán la estructurar de la matriz de evaluación de cumplimiento y madurez conforme los resultados de la etapa de contexto de seguridad, tecnológico y organizacional.</w:t>
      </w:r>
    </w:p>
    <w:p w14:paraId="42E8B1B9" w14:textId="77777777" w:rsidR="008D0C91" w:rsidRPr="00232EBB" w:rsidRDefault="008D0C91" w:rsidP="000E2299">
      <w:pPr>
        <w:numPr>
          <w:ilvl w:val="1"/>
          <w:numId w:val="34"/>
        </w:numPr>
        <w:spacing w:line="360" w:lineRule="auto"/>
        <w:contextualSpacing/>
        <w:jc w:val="both"/>
        <w:rPr>
          <w:rFonts w:eastAsia="Calibri"/>
          <w:noProof/>
          <w:lang w:val="es-DO"/>
        </w:rPr>
      </w:pPr>
      <w:r w:rsidRPr="00232EBB">
        <w:rPr>
          <w:rFonts w:eastAsia="Calibri"/>
          <w:noProof/>
          <w:lang w:val="es-DO"/>
        </w:rPr>
        <w:t>Evaluar efectividad en el diseño, la implementación y madurez del entorno de control de TSS, reportando la trazabilidad de cumplimiento conforme a los objetivos, dominios y regulación seleccionados en la etapa de contexto como un insumo de referencia para el análisis FODA y el PESI.</w:t>
      </w:r>
    </w:p>
    <w:p w14:paraId="73F6E510" w14:textId="77777777" w:rsidR="008D0C91" w:rsidRPr="00232EBB" w:rsidRDefault="008D0C91" w:rsidP="000E2299">
      <w:pPr>
        <w:numPr>
          <w:ilvl w:val="1"/>
          <w:numId w:val="34"/>
        </w:numPr>
        <w:spacing w:line="360" w:lineRule="auto"/>
        <w:contextualSpacing/>
        <w:jc w:val="both"/>
        <w:rPr>
          <w:rFonts w:eastAsia="Calibri"/>
          <w:noProof/>
          <w:lang w:val="es-DO"/>
        </w:rPr>
      </w:pPr>
      <w:r w:rsidRPr="00232EBB">
        <w:rPr>
          <w:rFonts w:eastAsia="Calibri"/>
          <w:noProof/>
          <w:lang w:val="es-DO"/>
        </w:rPr>
        <w:t>Identificar y considerar las regulaciones aplicables en materia de seguridad de la información establecidos por el Banco Central, el Departamento Nacional de Investigaciones (DNI) y el Centro Nacional de Ciberseguridad del Estado Dominicano.</w:t>
      </w:r>
    </w:p>
    <w:p w14:paraId="61BE955D" w14:textId="77777777" w:rsidR="008D0C91" w:rsidRPr="00232EBB" w:rsidRDefault="008D0C91" w:rsidP="008D0C91">
      <w:pPr>
        <w:pStyle w:val="Heading1"/>
        <w:jc w:val="both"/>
        <w:rPr>
          <w:rFonts w:cs="Times New Roman"/>
          <w:spacing w:val="0"/>
          <w:sz w:val="24"/>
          <w:szCs w:val="24"/>
          <w:lang w:val="es-DO"/>
        </w:rPr>
      </w:pPr>
      <w:bookmarkStart w:id="244" w:name="_Toc216952256"/>
      <w:r w:rsidRPr="00232EBB">
        <w:rPr>
          <w:rFonts w:cs="Times New Roman"/>
          <w:spacing w:val="0"/>
          <w:sz w:val="24"/>
          <w:szCs w:val="24"/>
          <w:lang w:val="es-DO"/>
        </w:rPr>
        <w:t>Fase 2. Situación Deseada</w:t>
      </w:r>
      <w:bookmarkEnd w:id="244"/>
    </w:p>
    <w:p w14:paraId="6775090B" w14:textId="77777777" w:rsidR="008D0C91" w:rsidRPr="00232EBB" w:rsidRDefault="008D0C91" w:rsidP="000E2299">
      <w:pPr>
        <w:numPr>
          <w:ilvl w:val="1"/>
          <w:numId w:val="35"/>
        </w:numPr>
        <w:spacing w:line="360" w:lineRule="auto"/>
        <w:contextualSpacing/>
        <w:jc w:val="both"/>
        <w:rPr>
          <w:rFonts w:eastAsia="Calibri"/>
          <w:noProof/>
          <w:lang w:val="es-DO"/>
        </w:rPr>
      </w:pPr>
      <w:r w:rsidRPr="00232EBB">
        <w:rPr>
          <w:rFonts w:eastAsia="Calibri"/>
          <w:noProof/>
          <w:lang w:val="es-DO"/>
        </w:rPr>
        <w:t xml:space="preserve">Considerar una arquitectura de seguridad a alto nivel como una representación general y estratégica de cómo se protegen los activos de información dentro de una organización. </w:t>
      </w:r>
    </w:p>
    <w:p w14:paraId="0FE8D94B" w14:textId="77777777" w:rsidR="008D0C91" w:rsidRPr="00232EBB" w:rsidRDefault="008D0C91" w:rsidP="000E2299">
      <w:pPr>
        <w:numPr>
          <w:ilvl w:val="1"/>
          <w:numId w:val="35"/>
        </w:numPr>
        <w:spacing w:line="360" w:lineRule="auto"/>
        <w:contextualSpacing/>
        <w:jc w:val="both"/>
        <w:rPr>
          <w:rFonts w:eastAsia="Calibri"/>
          <w:noProof/>
          <w:lang w:val="es-DO"/>
        </w:rPr>
      </w:pPr>
      <w:r w:rsidRPr="00232EBB">
        <w:rPr>
          <w:rFonts w:eastAsia="Calibri"/>
          <w:noProof/>
          <w:lang w:val="es-DO"/>
        </w:rPr>
        <w:t>Definir y desarrollar de manera detallada el Plan Estratégico de Ciberseguridad que deberá de ser implementado y operado con la habilitación del modelo de gobierno para lograr el nivel de seguridad y control de riesgos para la Tesorería Social.</w:t>
      </w:r>
    </w:p>
    <w:p w14:paraId="72E4D41B" w14:textId="77777777" w:rsidR="008D0C91" w:rsidRPr="00232EBB" w:rsidRDefault="008D0C91" w:rsidP="000E2299">
      <w:pPr>
        <w:numPr>
          <w:ilvl w:val="1"/>
          <w:numId w:val="35"/>
        </w:numPr>
        <w:spacing w:line="360" w:lineRule="auto"/>
        <w:contextualSpacing/>
        <w:jc w:val="both"/>
        <w:rPr>
          <w:rFonts w:eastAsia="Calibri"/>
          <w:noProof/>
          <w:lang w:val="es-DO"/>
        </w:rPr>
      </w:pPr>
      <w:r w:rsidRPr="00232EBB">
        <w:rPr>
          <w:rFonts w:eastAsia="Calibri"/>
          <w:noProof/>
          <w:lang w:val="es-DO"/>
        </w:rPr>
        <w:t>Desarrollar el Diseño de la arquitectura conforme al modelo OSA u otro similar.</w:t>
      </w:r>
    </w:p>
    <w:p w14:paraId="4FAA030C" w14:textId="77777777" w:rsidR="008D0C91" w:rsidRPr="00232EBB" w:rsidRDefault="008D0C91" w:rsidP="000E2299">
      <w:pPr>
        <w:numPr>
          <w:ilvl w:val="1"/>
          <w:numId w:val="35"/>
        </w:numPr>
        <w:spacing w:line="360" w:lineRule="auto"/>
        <w:contextualSpacing/>
        <w:jc w:val="both"/>
        <w:rPr>
          <w:rFonts w:eastAsia="Calibri"/>
          <w:noProof/>
          <w:lang w:val="es-DO"/>
        </w:rPr>
      </w:pPr>
      <w:r w:rsidRPr="00232EBB">
        <w:rPr>
          <w:rFonts w:eastAsia="Calibri"/>
          <w:noProof/>
          <w:lang w:val="es-DO"/>
        </w:rPr>
        <w:t>Establecer la matriz de control de seguridad con el nivel de madurez referenciando en las mejores prácticas, la regulación y el contexto.</w:t>
      </w:r>
    </w:p>
    <w:p w14:paraId="4843CB49" w14:textId="77777777" w:rsidR="008D0C91" w:rsidRPr="00232EBB" w:rsidRDefault="008D0C91" w:rsidP="008D0C91">
      <w:pPr>
        <w:pStyle w:val="Heading1"/>
        <w:jc w:val="both"/>
        <w:rPr>
          <w:rFonts w:cs="Times New Roman"/>
          <w:spacing w:val="0"/>
          <w:sz w:val="24"/>
          <w:szCs w:val="24"/>
          <w:lang w:val="es-DO"/>
        </w:rPr>
      </w:pPr>
      <w:bookmarkStart w:id="245" w:name="_Toc216952257"/>
      <w:r w:rsidRPr="00232EBB">
        <w:rPr>
          <w:rFonts w:cs="Times New Roman"/>
          <w:spacing w:val="0"/>
          <w:sz w:val="24"/>
          <w:szCs w:val="24"/>
          <w:lang w:val="es-DO"/>
        </w:rPr>
        <w:lastRenderedPageBreak/>
        <w:t>Fase 3. Plan Estratégico</w:t>
      </w:r>
      <w:bookmarkEnd w:id="245"/>
    </w:p>
    <w:p w14:paraId="6BDA86E2" w14:textId="77777777" w:rsidR="008D0C91" w:rsidRPr="00232EBB" w:rsidRDefault="008D0C91" w:rsidP="000E2299">
      <w:pPr>
        <w:numPr>
          <w:ilvl w:val="1"/>
          <w:numId w:val="36"/>
        </w:numPr>
        <w:spacing w:line="360" w:lineRule="auto"/>
        <w:contextualSpacing/>
        <w:jc w:val="both"/>
        <w:rPr>
          <w:rFonts w:eastAsia="Calibri"/>
          <w:noProof/>
          <w:lang w:val="es-DO"/>
        </w:rPr>
      </w:pPr>
      <w:r w:rsidRPr="00232EBB">
        <w:rPr>
          <w:rFonts w:eastAsia="Calibri"/>
          <w:noProof/>
          <w:lang w:val="es-DO"/>
        </w:rPr>
        <w:t>Desarrollar una matriz de controles detallada, estableciendo los objetivos y los aspectos clave de control a considerar en el diseño e implementación.</w:t>
      </w:r>
    </w:p>
    <w:p w14:paraId="3975845D" w14:textId="77777777" w:rsidR="008D0C91" w:rsidRPr="00232EBB" w:rsidRDefault="008D0C91" w:rsidP="000E2299">
      <w:pPr>
        <w:numPr>
          <w:ilvl w:val="1"/>
          <w:numId w:val="36"/>
        </w:numPr>
        <w:spacing w:line="360" w:lineRule="auto"/>
        <w:contextualSpacing/>
        <w:jc w:val="both"/>
        <w:rPr>
          <w:rFonts w:eastAsia="Calibri"/>
          <w:noProof/>
          <w:lang w:val="es-DO"/>
        </w:rPr>
      </w:pPr>
      <w:r w:rsidRPr="00232EBB">
        <w:rPr>
          <w:rFonts w:eastAsia="Calibri"/>
          <w:noProof/>
          <w:lang w:val="es-DO"/>
        </w:rPr>
        <w:t>Identificar y seleccionar la estructura del marco documental como la base a nivel política y procesos de seguridad fundamentales para la operación del área.</w:t>
      </w:r>
    </w:p>
    <w:p w14:paraId="6C63ABCA" w14:textId="77777777" w:rsidR="008D0C91" w:rsidRPr="00232EBB" w:rsidRDefault="008D0C91" w:rsidP="000E2299">
      <w:pPr>
        <w:numPr>
          <w:ilvl w:val="1"/>
          <w:numId w:val="36"/>
        </w:numPr>
        <w:spacing w:line="360" w:lineRule="auto"/>
        <w:contextualSpacing/>
        <w:jc w:val="both"/>
        <w:rPr>
          <w:rFonts w:eastAsia="Calibri"/>
          <w:noProof/>
          <w:lang w:val="es-DO"/>
        </w:rPr>
      </w:pPr>
      <w:r w:rsidRPr="00232EBB">
        <w:rPr>
          <w:rFonts w:eastAsia="Calibri"/>
          <w:noProof/>
          <w:lang w:val="es-DO"/>
        </w:rPr>
        <w:t>Diseñar la estructura del Marco Estratégico de Gestión, seleccionando los modelos, mecanismos y equipos planteados en la propuesta conforme al contexto organizacional.</w:t>
      </w:r>
    </w:p>
    <w:p w14:paraId="6AB083E8" w14:textId="4ED86C88" w:rsidR="006121D1" w:rsidRPr="00232EBB" w:rsidRDefault="006121D1" w:rsidP="006121D1">
      <w:pPr>
        <w:pStyle w:val="Heading1"/>
        <w:jc w:val="both"/>
        <w:rPr>
          <w:rFonts w:cs="Times New Roman"/>
          <w:spacing w:val="0"/>
          <w:sz w:val="24"/>
          <w:szCs w:val="24"/>
          <w:lang w:val="es-DO"/>
        </w:rPr>
      </w:pPr>
      <w:bookmarkStart w:id="246" w:name="_Toc216952258"/>
      <w:bookmarkEnd w:id="237"/>
      <w:r w:rsidRPr="00232EBB">
        <w:rPr>
          <w:rFonts w:cs="Times New Roman"/>
          <w:spacing w:val="0"/>
          <w:sz w:val="24"/>
          <w:szCs w:val="24"/>
          <w:lang w:val="es-DO"/>
        </w:rPr>
        <w:t>Departamento de Gestión Integral de Riesgos</w:t>
      </w:r>
      <w:bookmarkEnd w:id="134"/>
      <w:bookmarkEnd w:id="135"/>
      <w:bookmarkEnd w:id="136"/>
      <w:bookmarkEnd w:id="137"/>
      <w:bookmarkEnd w:id="238"/>
      <w:bookmarkEnd w:id="246"/>
    </w:p>
    <w:p w14:paraId="3079103C" w14:textId="77777777" w:rsidR="001F2D16" w:rsidRPr="00232EBB" w:rsidRDefault="001F2D16" w:rsidP="001F2D16">
      <w:pPr>
        <w:spacing w:before="240" w:line="360" w:lineRule="auto"/>
        <w:jc w:val="both"/>
        <w:rPr>
          <w:rFonts w:eastAsia="Calibri"/>
          <w:noProof/>
          <w:lang w:val="es-DO"/>
        </w:rPr>
      </w:pPr>
      <w:r w:rsidRPr="00232EBB">
        <w:rPr>
          <w:rFonts w:eastAsia="Calibri"/>
          <w:noProof/>
          <w:lang w:val="es-DO"/>
        </w:rPr>
        <w:t>La Gestión Integral de Riesgos (DGIR) ha culminado el año 2025 con una gestión innovadora y robusta, consolidando la resiliencia operativa de la TSS. Los logros se centran en la implementación exitosa de una cultura de riesgos, el cumplimiento total de las metas estratégicas, y el desarrollo de marcos de referencia avanzados para el futuro.</w:t>
      </w:r>
    </w:p>
    <w:p w14:paraId="0C555280" w14:textId="77777777" w:rsidR="001F2D16" w:rsidRPr="00232EBB" w:rsidRDefault="001F2D16" w:rsidP="001F2D16">
      <w:pPr>
        <w:pStyle w:val="Heading1"/>
        <w:jc w:val="both"/>
        <w:rPr>
          <w:rFonts w:cs="Times New Roman"/>
          <w:spacing w:val="0"/>
          <w:sz w:val="24"/>
          <w:szCs w:val="24"/>
          <w:lang w:val="es-DO"/>
        </w:rPr>
      </w:pPr>
      <w:bookmarkStart w:id="247" w:name="_Toc216952259"/>
      <w:r w:rsidRPr="00232EBB">
        <w:rPr>
          <w:rFonts w:cs="Times New Roman"/>
          <w:spacing w:val="0"/>
          <w:sz w:val="24"/>
          <w:szCs w:val="24"/>
          <w:lang w:val="es-DO"/>
        </w:rPr>
        <w:t>Visión 360°: La Gestión de Riesgos como Pilar Estratégico</w:t>
      </w:r>
      <w:bookmarkEnd w:id="247"/>
    </w:p>
    <w:p w14:paraId="404AA130" w14:textId="77777777" w:rsidR="001F2D16" w:rsidRPr="00232EBB" w:rsidRDefault="001F2D16" w:rsidP="001F2D16">
      <w:pPr>
        <w:spacing w:before="240" w:line="360" w:lineRule="auto"/>
        <w:jc w:val="both"/>
        <w:rPr>
          <w:rFonts w:eastAsia="Calibri"/>
          <w:noProof/>
          <w:lang w:val="es-DO"/>
        </w:rPr>
      </w:pPr>
      <w:r w:rsidRPr="00232EBB">
        <w:rPr>
          <w:rFonts w:eastAsia="Calibri"/>
          <w:noProof/>
          <w:lang w:val="es-DO"/>
        </w:rPr>
        <w:t>El trabajo del Departamento de Gestión Integral de Riesgo (DGIR) ha trascendido el cumplimiento normativo para enfocarse en la instauración exitosa de una cultura orientada a la gestión de riesgos. Esta cultura permite la identificación proactiva de eventos capaces de afectar las operaciones de la TSS, facilitando la adopción temprana de medidas de mitigación de impacto.</w:t>
      </w:r>
    </w:p>
    <w:p w14:paraId="1B5795E9" w14:textId="77777777" w:rsidR="001F2D16" w:rsidRPr="00232EBB" w:rsidRDefault="001F2D16" w:rsidP="001F2D16">
      <w:pPr>
        <w:pStyle w:val="Heading1"/>
        <w:jc w:val="both"/>
        <w:rPr>
          <w:rFonts w:cs="Times New Roman"/>
          <w:spacing w:val="0"/>
          <w:sz w:val="24"/>
          <w:szCs w:val="24"/>
          <w:lang w:val="es-DO"/>
        </w:rPr>
      </w:pPr>
      <w:bookmarkStart w:id="248" w:name="_Toc216952260"/>
      <w:r w:rsidRPr="00232EBB">
        <w:rPr>
          <w:rFonts w:cs="Times New Roman"/>
          <w:spacing w:val="0"/>
          <w:sz w:val="24"/>
          <w:szCs w:val="24"/>
          <w:lang w:val="es-DO"/>
        </w:rPr>
        <w:t>I. Consolidación de Metas Anuales (100% de Cumplimiento)</w:t>
      </w:r>
      <w:bookmarkEnd w:id="248"/>
    </w:p>
    <w:p w14:paraId="0A1ECA4A" w14:textId="77777777" w:rsidR="001F2D16" w:rsidRPr="00232EBB" w:rsidRDefault="001F2D16" w:rsidP="001F2D16">
      <w:pPr>
        <w:spacing w:before="240" w:line="360" w:lineRule="auto"/>
        <w:jc w:val="both"/>
        <w:rPr>
          <w:rFonts w:eastAsia="Calibri"/>
          <w:noProof/>
          <w:lang w:val="es-DO"/>
        </w:rPr>
      </w:pPr>
      <w:r w:rsidRPr="00232EBB">
        <w:rPr>
          <w:rFonts w:eastAsia="Calibri"/>
          <w:noProof/>
          <w:lang w:val="es-DO"/>
        </w:rPr>
        <w:t>Se logró el 100% de cumplimiento en los dos objetivos estratégicos clave del Sistema de Gestión Integrado (SGI) para 2025, demostrando la capacidad de ejecución del departamento:</w:t>
      </w:r>
    </w:p>
    <w:p w14:paraId="5A4326AA" w14:textId="41927126" w:rsidR="001F2D16" w:rsidRPr="00232EBB" w:rsidRDefault="001F2D16" w:rsidP="000E2299">
      <w:pPr>
        <w:pStyle w:val="ListParagraph"/>
        <w:numPr>
          <w:ilvl w:val="0"/>
          <w:numId w:val="24"/>
        </w:numPr>
        <w:spacing w:before="240" w:line="360" w:lineRule="auto"/>
        <w:rPr>
          <w:rFonts w:ascii="Times New Roman" w:hAnsi="Times New Roman"/>
          <w:noProof/>
          <w:color w:val="767171"/>
          <w:spacing w:val="20"/>
          <w:sz w:val="24"/>
          <w:szCs w:val="24"/>
        </w:rPr>
      </w:pPr>
      <w:bookmarkStart w:id="249" w:name="_Hlk216945217"/>
      <w:r w:rsidRPr="00232EBB">
        <w:rPr>
          <w:rFonts w:ascii="Times New Roman" w:hAnsi="Times New Roman"/>
          <w:noProof/>
          <w:color w:val="767171"/>
          <w:spacing w:val="20"/>
          <w:sz w:val="24"/>
          <w:szCs w:val="24"/>
        </w:rPr>
        <w:lastRenderedPageBreak/>
        <w:t>Se alcanzó el 100% de la meta en el Plan Cultura en Gestión de Riesgos, Resiliencia y Continuidad de Negocios.</w:t>
      </w:r>
    </w:p>
    <w:p w14:paraId="5D2F20EC" w14:textId="6A85F079" w:rsidR="001F2D16" w:rsidRPr="00232EBB" w:rsidRDefault="001F2D16" w:rsidP="000E2299">
      <w:pPr>
        <w:pStyle w:val="ListParagraph"/>
        <w:numPr>
          <w:ilvl w:val="0"/>
          <w:numId w:val="24"/>
        </w:numPr>
        <w:spacing w:before="240"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Se completó el 100% de los ejercicios planificados de Continuidad de Negocios, fortaleciendo la capacidad de respuesta ante interrupciones.</w:t>
      </w:r>
    </w:p>
    <w:p w14:paraId="740EDD6A" w14:textId="77777777" w:rsidR="001F2D16" w:rsidRPr="00232EBB" w:rsidRDefault="001F2D16" w:rsidP="001F2D16">
      <w:pPr>
        <w:pStyle w:val="Heading1"/>
        <w:jc w:val="both"/>
        <w:rPr>
          <w:rFonts w:cs="Times New Roman"/>
          <w:spacing w:val="0"/>
          <w:sz w:val="24"/>
          <w:szCs w:val="24"/>
          <w:lang w:val="es-DO"/>
        </w:rPr>
      </w:pPr>
      <w:bookmarkStart w:id="250" w:name="_Toc216952261"/>
      <w:bookmarkEnd w:id="249"/>
      <w:r w:rsidRPr="00232EBB">
        <w:rPr>
          <w:rFonts w:cs="Times New Roman"/>
          <w:spacing w:val="0"/>
          <w:sz w:val="24"/>
          <w:szCs w:val="24"/>
          <w:lang w:val="es-DO"/>
        </w:rPr>
        <w:t>II. Innovación y Desarrollo Metodológico</w:t>
      </w:r>
      <w:bookmarkEnd w:id="250"/>
    </w:p>
    <w:p w14:paraId="795129FC" w14:textId="77777777" w:rsidR="001F2D16" w:rsidRPr="00232EBB" w:rsidRDefault="001F2D16" w:rsidP="001F2D16">
      <w:pPr>
        <w:spacing w:before="240" w:line="360" w:lineRule="auto"/>
        <w:jc w:val="both"/>
        <w:rPr>
          <w:rFonts w:eastAsia="Calibri"/>
          <w:noProof/>
          <w:lang w:val="es-DO"/>
        </w:rPr>
      </w:pPr>
      <w:r w:rsidRPr="00232EBB">
        <w:rPr>
          <w:rFonts w:eastAsia="Calibri"/>
          <w:noProof/>
          <w:lang w:val="es-DO"/>
        </w:rPr>
        <w:t>El DGIR no solo ejecutó el plan, sino que sentó las bases para una gestión de riesgos de vanguardia:</w:t>
      </w:r>
    </w:p>
    <w:p w14:paraId="39C499C4" w14:textId="40EE1871" w:rsidR="001F2D16" w:rsidRPr="00232EBB" w:rsidRDefault="001F2D16" w:rsidP="000E2299">
      <w:pPr>
        <w:pStyle w:val="ListParagraph"/>
        <w:numPr>
          <w:ilvl w:val="0"/>
          <w:numId w:val="25"/>
        </w:numPr>
        <w:spacing w:before="240" w:line="360" w:lineRule="auto"/>
        <w:rPr>
          <w:rFonts w:ascii="Times New Roman" w:hAnsi="Times New Roman"/>
          <w:noProof/>
          <w:color w:val="767171"/>
          <w:spacing w:val="20"/>
          <w:sz w:val="24"/>
          <w:szCs w:val="24"/>
        </w:rPr>
      </w:pPr>
      <w:bookmarkStart w:id="251" w:name="_Hlk216945243"/>
      <w:r w:rsidRPr="00232EBB">
        <w:rPr>
          <w:rFonts w:ascii="Times New Roman" w:hAnsi="Times New Roman"/>
          <w:noProof/>
          <w:color w:val="767171"/>
          <w:spacing w:val="20"/>
          <w:sz w:val="24"/>
          <w:szCs w:val="24"/>
        </w:rPr>
        <w:t>Se presentó la metodología mejorada de la Gestión Integral de Riesgo, optimizando los procesos internos de identificación, evaluación y tratamiento de riesgos.</w:t>
      </w:r>
    </w:p>
    <w:bookmarkEnd w:id="251"/>
    <w:p w14:paraId="464BB95D" w14:textId="3215FEEA" w:rsidR="001F2D16" w:rsidRPr="00232EBB" w:rsidRDefault="001F2D16" w:rsidP="000E2299">
      <w:pPr>
        <w:pStyle w:val="ListParagraph"/>
        <w:numPr>
          <w:ilvl w:val="0"/>
          <w:numId w:val="25"/>
        </w:numPr>
        <w:spacing w:before="240"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Se elaboró y presentó la propuesta formal para el Modelo de Resiliencia a implementar en el 2026, acompañado de las políticas y modelos de continuidad de negocio. Esta formalización permitirá una gestión integral y estructurada de la continuidad de negocios y la gestión de incidentes a partir del próximo año.</w:t>
      </w:r>
    </w:p>
    <w:p w14:paraId="6212F15C" w14:textId="77777777" w:rsidR="001F2D16" w:rsidRPr="00232EBB" w:rsidRDefault="001F2D16" w:rsidP="001F2D16">
      <w:pPr>
        <w:pStyle w:val="Heading1"/>
        <w:jc w:val="both"/>
        <w:rPr>
          <w:rFonts w:cs="Times New Roman"/>
          <w:spacing w:val="0"/>
          <w:sz w:val="24"/>
          <w:szCs w:val="24"/>
          <w:lang w:val="es-DO"/>
        </w:rPr>
      </w:pPr>
      <w:bookmarkStart w:id="252" w:name="_Toc216952262"/>
      <w:r w:rsidRPr="00232EBB">
        <w:rPr>
          <w:rFonts w:cs="Times New Roman"/>
          <w:spacing w:val="0"/>
          <w:sz w:val="24"/>
          <w:szCs w:val="24"/>
          <w:lang w:val="es-DO"/>
        </w:rPr>
        <w:t>III. Fortalecimiento del Capital Humano y Enlace Externo</w:t>
      </w:r>
      <w:bookmarkEnd w:id="252"/>
    </w:p>
    <w:p w14:paraId="0BC248B1" w14:textId="77777777" w:rsidR="001F2D16" w:rsidRPr="00232EBB" w:rsidRDefault="001F2D16" w:rsidP="001F2D16">
      <w:pPr>
        <w:spacing w:before="240" w:line="360" w:lineRule="auto"/>
        <w:jc w:val="both"/>
        <w:rPr>
          <w:rFonts w:eastAsia="Calibri"/>
          <w:noProof/>
          <w:lang w:val="es-DO"/>
        </w:rPr>
      </w:pPr>
      <w:r w:rsidRPr="00232EBB">
        <w:rPr>
          <w:rFonts w:eastAsia="Calibri"/>
          <w:noProof/>
          <w:lang w:val="es-DO"/>
        </w:rPr>
        <w:t>El desarrollo de capacidades y la colaboración externa fueron pilares de la gestión:</w:t>
      </w:r>
    </w:p>
    <w:p w14:paraId="376B61DA" w14:textId="4940269F" w:rsidR="001F2D16" w:rsidRPr="00232EBB" w:rsidRDefault="001F2D16" w:rsidP="000E2299">
      <w:pPr>
        <w:pStyle w:val="ListParagraph"/>
        <w:numPr>
          <w:ilvl w:val="0"/>
          <w:numId w:val="23"/>
        </w:numPr>
        <w:spacing w:before="240"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 xml:space="preserve">Se realizaron jornadas de capacitación </w:t>
      </w:r>
      <w:r w:rsidR="005162E7" w:rsidRPr="00232EBB">
        <w:rPr>
          <w:rFonts w:ascii="Times New Roman" w:hAnsi="Times New Roman"/>
          <w:noProof/>
          <w:color w:val="767171"/>
          <w:spacing w:val="20"/>
          <w:sz w:val="24"/>
          <w:szCs w:val="24"/>
        </w:rPr>
        <w:t xml:space="preserve">especializada </w:t>
      </w:r>
      <w:r w:rsidRPr="00232EBB">
        <w:rPr>
          <w:rFonts w:ascii="Times New Roman" w:hAnsi="Times New Roman"/>
          <w:noProof/>
          <w:color w:val="767171"/>
          <w:spacing w:val="20"/>
          <w:sz w:val="24"/>
          <w:szCs w:val="24"/>
        </w:rPr>
        <w:t>al personal de nuevo ingreso y a los diferentes encargados, cubriendo no solo el riesgo general, sino haciendo énfasis especial en el riesgo conductual, vital para la integridad institucional.</w:t>
      </w:r>
    </w:p>
    <w:p w14:paraId="2D95C0D6" w14:textId="6E7B0D06" w:rsidR="001F2D16" w:rsidRPr="00232EBB" w:rsidRDefault="001F2D16" w:rsidP="000E2299">
      <w:pPr>
        <w:pStyle w:val="ListParagraph"/>
        <w:numPr>
          <w:ilvl w:val="0"/>
          <w:numId w:val="23"/>
        </w:numPr>
        <w:spacing w:before="240"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Se destacó la participación en ejercicios de continuidad organizados por órganos externos, validando la preparación de la TSS a nivel interinstitucional.</w:t>
      </w:r>
    </w:p>
    <w:p w14:paraId="6513A702" w14:textId="3C8576F6" w:rsidR="001F2D16" w:rsidRPr="00232EBB" w:rsidRDefault="005162E7" w:rsidP="000E2299">
      <w:pPr>
        <w:pStyle w:val="ListParagraph"/>
        <w:numPr>
          <w:ilvl w:val="0"/>
          <w:numId w:val="23"/>
        </w:numPr>
        <w:spacing w:before="240"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lastRenderedPageBreak/>
        <w:t>P</w:t>
      </w:r>
      <w:r w:rsidR="001F2D16" w:rsidRPr="00232EBB">
        <w:rPr>
          <w:rFonts w:ascii="Times New Roman" w:hAnsi="Times New Roman"/>
          <w:noProof/>
          <w:color w:val="767171"/>
          <w:spacing w:val="20"/>
          <w:sz w:val="24"/>
          <w:szCs w:val="24"/>
        </w:rPr>
        <w:t>articip</w:t>
      </w:r>
      <w:r w:rsidRPr="00232EBB">
        <w:rPr>
          <w:rFonts w:ascii="Times New Roman" w:hAnsi="Times New Roman"/>
          <w:noProof/>
          <w:color w:val="767171"/>
          <w:spacing w:val="20"/>
          <w:sz w:val="24"/>
          <w:szCs w:val="24"/>
        </w:rPr>
        <w:t>ación</w:t>
      </w:r>
      <w:r w:rsidR="001F2D16" w:rsidRPr="00232EBB">
        <w:rPr>
          <w:rFonts w:ascii="Times New Roman" w:hAnsi="Times New Roman"/>
          <w:noProof/>
          <w:color w:val="767171"/>
          <w:spacing w:val="20"/>
          <w:sz w:val="24"/>
          <w:szCs w:val="24"/>
        </w:rPr>
        <w:t xml:space="preserve"> en actividades de benchlearning con la Superintendencia de Bancos, integrando mejores prácticas del sector financiero en la gestión de riesgos.</w:t>
      </w:r>
    </w:p>
    <w:p w14:paraId="3DFAECB1" w14:textId="77777777" w:rsidR="001F2D16" w:rsidRPr="00232EBB" w:rsidRDefault="001F2D16" w:rsidP="0037591B">
      <w:pPr>
        <w:pStyle w:val="Heading1"/>
        <w:spacing w:before="0"/>
        <w:jc w:val="both"/>
        <w:rPr>
          <w:rFonts w:cs="Times New Roman"/>
          <w:spacing w:val="0"/>
          <w:sz w:val="24"/>
          <w:szCs w:val="24"/>
          <w:lang w:val="es-DO"/>
        </w:rPr>
      </w:pPr>
      <w:bookmarkStart w:id="253" w:name="_Toc216952263"/>
      <w:r w:rsidRPr="00232EBB">
        <w:rPr>
          <w:rFonts w:cs="Times New Roman"/>
          <w:spacing w:val="0"/>
          <w:sz w:val="24"/>
          <w:szCs w:val="24"/>
          <w:lang w:val="es-DO"/>
        </w:rPr>
        <w:t>IV. Aseguramiento de la Calidad de la Información</w:t>
      </w:r>
      <w:bookmarkEnd w:id="253"/>
    </w:p>
    <w:p w14:paraId="5E570A88" w14:textId="77777777" w:rsidR="001F2D16" w:rsidRPr="00232EBB" w:rsidRDefault="001F2D16" w:rsidP="0037591B">
      <w:pPr>
        <w:spacing w:line="360" w:lineRule="auto"/>
        <w:jc w:val="both"/>
        <w:rPr>
          <w:rFonts w:eastAsia="Calibri"/>
          <w:noProof/>
          <w:lang w:val="es-DO"/>
        </w:rPr>
      </w:pPr>
      <w:r w:rsidRPr="00232EBB">
        <w:rPr>
          <w:rFonts w:eastAsia="Calibri"/>
          <w:noProof/>
          <w:lang w:val="es-DO"/>
        </w:rPr>
        <w:t>El compromiso con la transparencia y la precisión se evidenció al alcanzar un 100% en el Índice de Calidad de Recopilación de Información (ICRI), superando la meta establecida del 95%. Adicionalmente, se logró el 100% de cumplimiento en la actualización del mapa de riesgos de incumplimiento y antisoborno, asegurando herramientas de gestión precisas y actualizadas.</w:t>
      </w:r>
    </w:p>
    <w:p w14:paraId="0AA16BF3" w14:textId="6D939647" w:rsidR="00053E08" w:rsidRPr="00232EBB" w:rsidRDefault="00053E08" w:rsidP="00053E08">
      <w:pPr>
        <w:keepNext/>
        <w:keepLines/>
        <w:spacing w:before="240" w:line="360" w:lineRule="auto"/>
        <w:jc w:val="both"/>
        <w:outlineLvl w:val="0"/>
        <w:rPr>
          <w:rFonts w:eastAsiaTheme="majorEastAsia"/>
          <w:b/>
          <w:color w:val="767171" w:themeColor="background2" w:themeShade="80"/>
          <w:spacing w:val="0"/>
          <w:lang w:val="es-DO"/>
        </w:rPr>
      </w:pPr>
      <w:bookmarkStart w:id="254" w:name="_Toc184981206"/>
      <w:bookmarkStart w:id="255" w:name="_Toc216952264"/>
      <w:r w:rsidRPr="00232EBB">
        <w:rPr>
          <w:rFonts w:eastAsiaTheme="majorEastAsia"/>
          <w:b/>
          <w:color w:val="767171" w:themeColor="background2" w:themeShade="80"/>
          <w:spacing w:val="0"/>
          <w:lang w:val="es-DO"/>
        </w:rPr>
        <w:t>Resultados de las Normas Básicas de Control Interno (NOBACI)</w:t>
      </w:r>
      <w:bookmarkEnd w:id="254"/>
      <w:bookmarkEnd w:id="255"/>
    </w:p>
    <w:tbl>
      <w:tblPr>
        <w:tblW w:w="7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1995"/>
        <w:gridCol w:w="1799"/>
      </w:tblGrid>
      <w:tr w:rsidR="003B5614" w:rsidRPr="004622C5" w14:paraId="034F325A" w14:textId="77777777" w:rsidTr="00266E19">
        <w:trPr>
          <w:trHeight w:val="161"/>
          <w:tblHeader/>
        </w:trPr>
        <w:tc>
          <w:tcPr>
            <w:tcW w:w="7555" w:type="dxa"/>
            <w:gridSpan w:val="3"/>
            <w:shd w:val="clear" w:color="auto" w:fill="002060"/>
            <w:vAlign w:val="center"/>
            <w:hideMark/>
          </w:tcPr>
          <w:p w14:paraId="12F2AFCE" w14:textId="46FAEAF6" w:rsidR="003B5614" w:rsidRPr="00232EBB" w:rsidRDefault="00457D41" w:rsidP="009F54E3">
            <w:pPr>
              <w:spacing w:line="360" w:lineRule="auto"/>
              <w:jc w:val="center"/>
              <w:rPr>
                <w:rFonts w:eastAsia="Calibri"/>
                <w:b/>
                <w:bCs/>
                <w:noProof/>
                <w:color w:val="FFFFFF" w:themeColor="background1"/>
                <w:sz w:val="22"/>
                <w:szCs w:val="22"/>
                <w:lang w:val="es-DO"/>
              </w:rPr>
            </w:pPr>
            <w:r w:rsidRPr="00232EBB">
              <w:rPr>
                <w:rFonts w:eastAsia="Calibri"/>
                <w:b/>
                <w:bCs/>
                <w:noProof/>
                <w:color w:val="FFFFFF" w:themeColor="background1"/>
                <w:sz w:val="22"/>
                <w:szCs w:val="22"/>
                <w:lang w:val="es-DO"/>
              </w:rPr>
              <w:t>Contraloría</w:t>
            </w:r>
            <w:r w:rsidR="003B5614" w:rsidRPr="00232EBB">
              <w:rPr>
                <w:rFonts w:eastAsia="Calibri"/>
                <w:b/>
                <w:bCs/>
                <w:noProof/>
                <w:color w:val="FFFFFF" w:themeColor="background1"/>
                <w:sz w:val="22"/>
                <w:szCs w:val="22"/>
                <w:lang w:val="es-DO"/>
              </w:rPr>
              <w:t xml:space="preserve"> General de la República</w:t>
            </w:r>
          </w:p>
        </w:tc>
      </w:tr>
      <w:tr w:rsidR="003B5614" w:rsidRPr="00232EBB" w14:paraId="02B9CF84" w14:textId="77777777" w:rsidTr="00266E19">
        <w:trPr>
          <w:trHeight w:val="1043"/>
          <w:tblHeader/>
        </w:trPr>
        <w:tc>
          <w:tcPr>
            <w:tcW w:w="4045" w:type="dxa"/>
            <w:shd w:val="clear" w:color="auto" w:fill="002060"/>
            <w:vAlign w:val="center"/>
            <w:hideMark/>
          </w:tcPr>
          <w:p w14:paraId="104B693C" w14:textId="77777777" w:rsidR="003B5614" w:rsidRPr="00232EBB" w:rsidRDefault="003B5614" w:rsidP="009F54E3">
            <w:pPr>
              <w:spacing w:line="360" w:lineRule="auto"/>
              <w:jc w:val="center"/>
              <w:rPr>
                <w:rFonts w:eastAsia="Calibri"/>
                <w:b/>
                <w:bCs/>
                <w:noProof/>
                <w:color w:val="FFFFFF" w:themeColor="background1"/>
                <w:sz w:val="22"/>
                <w:szCs w:val="22"/>
                <w:lang w:val="es-DO"/>
              </w:rPr>
            </w:pPr>
            <w:r w:rsidRPr="00232EBB">
              <w:rPr>
                <w:rFonts w:eastAsia="Calibri"/>
                <w:b/>
                <w:bCs/>
                <w:noProof/>
                <w:color w:val="FFFFFF" w:themeColor="background1"/>
                <w:sz w:val="22"/>
                <w:szCs w:val="22"/>
                <w:lang w:val="es-DO"/>
              </w:rPr>
              <w:t>Componentes del Control Interno</w:t>
            </w:r>
          </w:p>
        </w:tc>
        <w:tc>
          <w:tcPr>
            <w:tcW w:w="2047" w:type="dxa"/>
            <w:shd w:val="clear" w:color="auto" w:fill="002060"/>
            <w:vAlign w:val="center"/>
            <w:hideMark/>
          </w:tcPr>
          <w:p w14:paraId="3810E1AA" w14:textId="77777777" w:rsidR="003B5614" w:rsidRPr="00232EBB" w:rsidRDefault="003B5614" w:rsidP="009F54E3">
            <w:pPr>
              <w:spacing w:line="360" w:lineRule="auto"/>
              <w:jc w:val="center"/>
              <w:rPr>
                <w:rFonts w:eastAsia="Calibri"/>
                <w:b/>
                <w:bCs/>
                <w:noProof/>
                <w:color w:val="FFFFFF" w:themeColor="background1"/>
                <w:sz w:val="22"/>
                <w:szCs w:val="22"/>
                <w:lang w:val="es-DO"/>
              </w:rPr>
            </w:pPr>
            <w:r w:rsidRPr="00232EBB">
              <w:rPr>
                <w:rFonts w:eastAsia="Calibri"/>
                <w:b/>
                <w:bCs/>
                <w:noProof/>
                <w:color w:val="FFFFFF" w:themeColor="background1"/>
                <w:sz w:val="22"/>
                <w:szCs w:val="22"/>
                <w:lang w:val="es-DO"/>
              </w:rPr>
              <w:t>Evaluación del diagnóstico CGR</w:t>
            </w:r>
          </w:p>
        </w:tc>
        <w:tc>
          <w:tcPr>
            <w:tcW w:w="1463" w:type="dxa"/>
            <w:shd w:val="clear" w:color="auto" w:fill="002060"/>
            <w:vAlign w:val="center"/>
            <w:hideMark/>
          </w:tcPr>
          <w:p w14:paraId="7AAE1072" w14:textId="77777777" w:rsidR="003B5614" w:rsidRPr="00232EBB" w:rsidRDefault="003B5614" w:rsidP="009F54E3">
            <w:pPr>
              <w:spacing w:line="360" w:lineRule="auto"/>
              <w:jc w:val="center"/>
              <w:rPr>
                <w:rFonts w:eastAsia="Calibri"/>
                <w:b/>
                <w:bCs/>
                <w:noProof/>
                <w:color w:val="FFFFFF" w:themeColor="background1"/>
                <w:sz w:val="22"/>
                <w:szCs w:val="22"/>
                <w:lang w:val="es-DO"/>
              </w:rPr>
            </w:pPr>
            <w:r w:rsidRPr="00232EBB">
              <w:rPr>
                <w:rFonts w:eastAsia="Calibri"/>
                <w:b/>
                <w:bCs/>
                <w:noProof/>
                <w:color w:val="FFFFFF" w:themeColor="background1"/>
                <w:sz w:val="22"/>
                <w:szCs w:val="22"/>
                <w:lang w:val="es-DO"/>
              </w:rPr>
              <w:t>Observaciones CGR</w:t>
            </w:r>
          </w:p>
        </w:tc>
      </w:tr>
      <w:tr w:rsidR="003B5614" w:rsidRPr="00232EBB" w14:paraId="5855A122" w14:textId="77777777" w:rsidTr="00266E19">
        <w:trPr>
          <w:trHeight w:val="88"/>
        </w:trPr>
        <w:tc>
          <w:tcPr>
            <w:tcW w:w="4045" w:type="dxa"/>
            <w:noWrap/>
            <w:vAlign w:val="center"/>
            <w:hideMark/>
          </w:tcPr>
          <w:p w14:paraId="2D5AB639" w14:textId="77777777" w:rsidR="003B5614" w:rsidRPr="00232EBB" w:rsidRDefault="003B5614" w:rsidP="00266E19">
            <w:pPr>
              <w:jc w:val="center"/>
            </w:pPr>
            <w:r w:rsidRPr="00232EBB">
              <w:t>Ambiente de Control</w:t>
            </w:r>
          </w:p>
        </w:tc>
        <w:tc>
          <w:tcPr>
            <w:tcW w:w="2047" w:type="dxa"/>
            <w:noWrap/>
            <w:vAlign w:val="center"/>
            <w:hideMark/>
          </w:tcPr>
          <w:p w14:paraId="0C0D7630" w14:textId="77777777" w:rsidR="003B5614" w:rsidRPr="00232EBB" w:rsidRDefault="003B5614" w:rsidP="00266E19">
            <w:pPr>
              <w:jc w:val="center"/>
            </w:pPr>
            <w:r w:rsidRPr="00232EBB">
              <w:t>100%</w:t>
            </w:r>
          </w:p>
        </w:tc>
        <w:tc>
          <w:tcPr>
            <w:tcW w:w="1463" w:type="dxa"/>
            <w:noWrap/>
            <w:vAlign w:val="center"/>
            <w:hideMark/>
          </w:tcPr>
          <w:p w14:paraId="7B7BD2DF" w14:textId="77777777" w:rsidR="003B5614" w:rsidRPr="00232EBB" w:rsidRDefault="003B5614" w:rsidP="00266E19">
            <w:pPr>
              <w:jc w:val="center"/>
            </w:pPr>
            <w:r w:rsidRPr="00232EBB">
              <w:t>0</w:t>
            </w:r>
          </w:p>
        </w:tc>
      </w:tr>
      <w:tr w:rsidR="003B5614" w:rsidRPr="00232EBB" w14:paraId="37813AEA" w14:textId="77777777" w:rsidTr="00266E19">
        <w:trPr>
          <w:trHeight w:val="476"/>
        </w:trPr>
        <w:tc>
          <w:tcPr>
            <w:tcW w:w="4045" w:type="dxa"/>
            <w:noWrap/>
            <w:vAlign w:val="center"/>
            <w:hideMark/>
          </w:tcPr>
          <w:p w14:paraId="68137362" w14:textId="77777777" w:rsidR="003B5614" w:rsidRPr="00232EBB" w:rsidRDefault="003B5614" w:rsidP="00266E19">
            <w:pPr>
              <w:jc w:val="center"/>
              <w:rPr>
                <w:lang w:val="es-DO"/>
              </w:rPr>
            </w:pPr>
            <w:r w:rsidRPr="00232EBB">
              <w:rPr>
                <w:lang w:val="es-DO"/>
              </w:rPr>
              <w:t>Valoración y Administración de Riesgos</w:t>
            </w:r>
          </w:p>
        </w:tc>
        <w:tc>
          <w:tcPr>
            <w:tcW w:w="2047" w:type="dxa"/>
            <w:noWrap/>
            <w:vAlign w:val="center"/>
            <w:hideMark/>
          </w:tcPr>
          <w:p w14:paraId="4D3E753B" w14:textId="77777777" w:rsidR="003B5614" w:rsidRPr="00232EBB" w:rsidRDefault="003B5614" w:rsidP="00266E19">
            <w:pPr>
              <w:jc w:val="center"/>
            </w:pPr>
            <w:r w:rsidRPr="00232EBB">
              <w:t>100%</w:t>
            </w:r>
          </w:p>
        </w:tc>
        <w:tc>
          <w:tcPr>
            <w:tcW w:w="1463" w:type="dxa"/>
            <w:noWrap/>
            <w:vAlign w:val="center"/>
            <w:hideMark/>
          </w:tcPr>
          <w:p w14:paraId="70243139" w14:textId="77777777" w:rsidR="003B5614" w:rsidRPr="00232EBB" w:rsidRDefault="003B5614" w:rsidP="00266E19">
            <w:pPr>
              <w:jc w:val="center"/>
            </w:pPr>
            <w:r w:rsidRPr="00232EBB">
              <w:t>0</w:t>
            </w:r>
          </w:p>
        </w:tc>
      </w:tr>
      <w:tr w:rsidR="003B5614" w:rsidRPr="00232EBB" w14:paraId="3FCBFEDC" w14:textId="77777777" w:rsidTr="00266E19">
        <w:trPr>
          <w:trHeight w:val="449"/>
        </w:trPr>
        <w:tc>
          <w:tcPr>
            <w:tcW w:w="4045" w:type="dxa"/>
            <w:noWrap/>
            <w:vAlign w:val="center"/>
            <w:hideMark/>
          </w:tcPr>
          <w:p w14:paraId="73BDE95D" w14:textId="77777777" w:rsidR="003B5614" w:rsidRPr="00232EBB" w:rsidRDefault="003B5614" w:rsidP="00266E19">
            <w:pPr>
              <w:jc w:val="center"/>
            </w:pPr>
            <w:r w:rsidRPr="00232EBB">
              <w:t>Actividades de Control</w:t>
            </w:r>
          </w:p>
        </w:tc>
        <w:tc>
          <w:tcPr>
            <w:tcW w:w="2047" w:type="dxa"/>
            <w:noWrap/>
            <w:vAlign w:val="center"/>
            <w:hideMark/>
          </w:tcPr>
          <w:p w14:paraId="57AE8421" w14:textId="77777777" w:rsidR="003B5614" w:rsidRPr="00232EBB" w:rsidRDefault="003B5614" w:rsidP="00266E19">
            <w:pPr>
              <w:jc w:val="center"/>
            </w:pPr>
            <w:r w:rsidRPr="00232EBB">
              <w:t>100%</w:t>
            </w:r>
          </w:p>
        </w:tc>
        <w:tc>
          <w:tcPr>
            <w:tcW w:w="1463" w:type="dxa"/>
            <w:noWrap/>
            <w:vAlign w:val="center"/>
            <w:hideMark/>
          </w:tcPr>
          <w:p w14:paraId="5D0FBCD4" w14:textId="77777777" w:rsidR="003B5614" w:rsidRPr="00232EBB" w:rsidRDefault="003B5614" w:rsidP="00266E19">
            <w:pPr>
              <w:jc w:val="center"/>
            </w:pPr>
            <w:r w:rsidRPr="00232EBB">
              <w:t>0</w:t>
            </w:r>
          </w:p>
        </w:tc>
      </w:tr>
      <w:tr w:rsidR="003B5614" w:rsidRPr="00232EBB" w14:paraId="7BEDC816" w14:textId="77777777" w:rsidTr="00266E19">
        <w:trPr>
          <w:trHeight w:val="431"/>
        </w:trPr>
        <w:tc>
          <w:tcPr>
            <w:tcW w:w="4045" w:type="dxa"/>
            <w:noWrap/>
            <w:vAlign w:val="center"/>
            <w:hideMark/>
          </w:tcPr>
          <w:p w14:paraId="0FFD22B4" w14:textId="77777777" w:rsidR="003B5614" w:rsidRPr="00232EBB" w:rsidRDefault="003B5614" w:rsidP="00266E19">
            <w:pPr>
              <w:jc w:val="center"/>
            </w:pPr>
            <w:r w:rsidRPr="00232EBB">
              <w:t>Información y Comunicación</w:t>
            </w:r>
          </w:p>
        </w:tc>
        <w:tc>
          <w:tcPr>
            <w:tcW w:w="2047" w:type="dxa"/>
            <w:noWrap/>
            <w:vAlign w:val="center"/>
            <w:hideMark/>
          </w:tcPr>
          <w:p w14:paraId="7D2912A0" w14:textId="77777777" w:rsidR="003B5614" w:rsidRPr="00232EBB" w:rsidRDefault="003B5614" w:rsidP="00266E19">
            <w:pPr>
              <w:jc w:val="center"/>
            </w:pPr>
            <w:r w:rsidRPr="00232EBB">
              <w:t>100%</w:t>
            </w:r>
          </w:p>
        </w:tc>
        <w:tc>
          <w:tcPr>
            <w:tcW w:w="1463" w:type="dxa"/>
            <w:noWrap/>
            <w:vAlign w:val="center"/>
            <w:hideMark/>
          </w:tcPr>
          <w:p w14:paraId="2BBC9005" w14:textId="77777777" w:rsidR="003B5614" w:rsidRPr="00232EBB" w:rsidRDefault="003B5614" w:rsidP="00266E19">
            <w:pPr>
              <w:jc w:val="center"/>
            </w:pPr>
            <w:r w:rsidRPr="00232EBB">
              <w:t>0</w:t>
            </w:r>
          </w:p>
        </w:tc>
      </w:tr>
      <w:tr w:rsidR="003B5614" w:rsidRPr="00232EBB" w14:paraId="12A97733" w14:textId="77777777" w:rsidTr="00266E19">
        <w:trPr>
          <w:trHeight w:val="88"/>
        </w:trPr>
        <w:tc>
          <w:tcPr>
            <w:tcW w:w="4045" w:type="dxa"/>
            <w:noWrap/>
            <w:vAlign w:val="center"/>
            <w:hideMark/>
          </w:tcPr>
          <w:p w14:paraId="6C21DDA4" w14:textId="77777777" w:rsidR="003B5614" w:rsidRPr="00232EBB" w:rsidRDefault="003B5614" w:rsidP="00266E19">
            <w:pPr>
              <w:jc w:val="center"/>
            </w:pPr>
            <w:r w:rsidRPr="00232EBB">
              <w:t>Monitoreo y Evaluación</w:t>
            </w:r>
          </w:p>
        </w:tc>
        <w:tc>
          <w:tcPr>
            <w:tcW w:w="2047" w:type="dxa"/>
            <w:noWrap/>
            <w:vAlign w:val="center"/>
            <w:hideMark/>
          </w:tcPr>
          <w:p w14:paraId="6A40BAE9" w14:textId="77777777" w:rsidR="003B5614" w:rsidRPr="00232EBB" w:rsidRDefault="003B5614" w:rsidP="00266E19">
            <w:pPr>
              <w:jc w:val="center"/>
            </w:pPr>
            <w:r w:rsidRPr="00232EBB">
              <w:t>100%</w:t>
            </w:r>
          </w:p>
        </w:tc>
        <w:tc>
          <w:tcPr>
            <w:tcW w:w="1463" w:type="dxa"/>
            <w:noWrap/>
            <w:vAlign w:val="center"/>
            <w:hideMark/>
          </w:tcPr>
          <w:p w14:paraId="504F70DC" w14:textId="77777777" w:rsidR="003B5614" w:rsidRPr="00232EBB" w:rsidRDefault="003B5614" w:rsidP="00266E19">
            <w:pPr>
              <w:jc w:val="center"/>
            </w:pPr>
            <w:r w:rsidRPr="00232EBB">
              <w:t>0</w:t>
            </w:r>
          </w:p>
        </w:tc>
      </w:tr>
      <w:tr w:rsidR="003B5614" w:rsidRPr="00232EBB" w14:paraId="4B3614DE" w14:textId="77777777" w:rsidTr="00266E19">
        <w:trPr>
          <w:trHeight w:val="296"/>
        </w:trPr>
        <w:tc>
          <w:tcPr>
            <w:tcW w:w="4045" w:type="dxa"/>
            <w:noWrap/>
            <w:vAlign w:val="center"/>
            <w:hideMark/>
          </w:tcPr>
          <w:p w14:paraId="0A4E99C0" w14:textId="56117C1C" w:rsidR="003B5614" w:rsidRPr="00232EBB" w:rsidRDefault="009F54E3" w:rsidP="00266E19">
            <w:pPr>
              <w:jc w:val="center"/>
            </w:pPr>
            <w:r w:rsidRPr="00232EBB">
              <w:t>% TOTALES</w:t>
            </w:r>
          </w:p>
        </w:tc>
        <w:tc>
          <w:tcPr>
            <w:tcW w:w="2047" w:type="dxa"/>
            <w:noWrap/>
            <w:vAlign w:val="center"/>
            <w:hideMark/>
          </w:tcPr>
          <w:p w14:paraId="046D1366" w14:textId="7C3DEF5D" w:rsidR="003B5614" w:rsidRPr="00232EBB" w:rsidRDefault="009F54E3" w:rsidP="00266E19">
            <w:pPr>
              <w:jc w:val="center"/>
            </w:pPr>
            <w:r w:rsidRPr="00232EBB">
              <w:t>100%</w:t>
            </w:r>
          </w:p>
        </w:tc>
        <w:tc>
          <w:tcPr>
            <w:tcW w:w="1463" w:type="dxa"/>
            <w:noWrap/>
            <w:vAlign w:val="center"/>
            <w:hideMark/>
          </w:tcPr>
          <w:p w14:paraId="678DEFD1" w14:textId="0C2CE2C7" w:rsidR="003B5614" w:rsidRPr="00232EBB" w:rsidRDefault="009F54E3" w:rsidP="00266E19">
            <w:pPr>
              <w:jc w:val="center"/>
            </w:pPr>
            <w:r w:rsidRPr="00232EBB">
              <w:t>0</w:t>
            </w:r>
          </w:p>
        </w:tc>
      </w:tr>
    </w:tbl>
    <w:p w14:paraId="428AD94F" w14:textId="5B27395C" w:rsidR="006852A9" w:rsidRPr="00232EBB" w:rsidRDefault="006852A9" w:rsidP="00307AEF">
      <w:pPr>
        <w:spacing w:before="240" w:line="360" w:lineRule="auto"/>
        <w:rPr>
          <w:noProof/>
          <w:sz w:val="18"/>
          <w:szCs w:val="18"/>
          <w:lang w:val="es-ES"/>
        </w:rPr>
      </w:pPr>
      <w:r w:rsidRPr="00232EBB">
        <w:rPr>
          <w:b/>
          <w:bCs/>
          <w:noProof/>
          <w:sz w:val="18"/>
          <w:szCs w:val="18"/>
          <w:lang w:val="es-ES"/>
        </w:rPr>
        <w:t>Tabla</w:t>
      </w:r>
      <w:r w:rsidR="00690EA0" w:rsidRPr="00232EBB">
        <w:rPr>
          <w:b/>
          <w:bCs/>
          <w:noProof/>
          <w:sz w:val="18"/>
          <w:szCs w:val="18"/>
          <w:lang w:val="es-ES"/>
        </w:rPr>
        <w:t xml:space="preserve"> 2</w:t>
      </w:r>
      <w:r w:rsidR="00E27BAB">
        <w:rPr>
          <w:b/>
          <w:bCs/>
          <w:noProof/>
          <w:sz w:val="18"/>
          <w:szCs w:val="18"/>
          <w:lang w:val="es-ES"/>
        </w:rPr>
        <w:t>2</w:t>
      </w:r>
      <w:r w:rsidRPr="00232EBB">
        <w:rPr>
          <w:b/>
          <w:bCs/>
          <w:noProof/>
          <w:sz w:val="18"/>
          <w:szCs w:val="18"/>
          <w:lang w:val="es-ES"/>
        </w:rPr>
        <w:t xml:space="preserve">: </w:t>
      </w:r>
      <w:r w:rsidRPr="00232EBB">
        <w:rPr>
          <w:noProof/>
          <w:sz w:val="18"/>
          <w:szCs w:val="18"/>
          <w:lang w:val="es-ES"/>
        </w:rPr>
        <w:t xml:space="preserve">Resultado NOBACI Portal CGR </w:t>
      </w:r>
    </w:p>
    <w:p w14:paraId="4724DD47" w14:textId="5645B025" w:rsidR="006852A9" w:rsidRPr="00232EBB" w:rsidRDefault="00E1119D" w:rsidP="00307AEF">
      <w:pPr>
        <w:spacing w:line="360" w:lineRule="auto"/>
        <w:jc w:val="both"/>
        <w:rPr>
          <w:rFonts w:eastAsia="Calibri"/>
          <w:noProof/>
          <w:lang w:val="es-DO"/>
        </w:rPr>
      </w:pPr>
      <w:bookmarkStart w:id="256" w:name="_Hlk183681806"/>
      <w:r w:rsidRPr="00232EBB">
        <w:rPr>
          <w:rFonts w:eastAsia="Calibri"/>
          <w:noProof/>
          <w:lang w:val="es-DO"/>
        </w:rPr>
        <w:t xml:space="preserve">Para la actualización de los requerimientos de cada componente que integran Las Normas Básicas de Control Interno NOBACI, según la Ley 10-07, reglamentos y resoluciones emitidas por la Contraloría General de la República.  Se han enviado los informes de gestión correspondientes a los trimestres enero- marzo, abril - junio y julio – septiembre, fueron enviados a contraloría y actualizados en el </w:t>
      </w:r>
      <w:r w:rsidRPr="00232EBB">
        <w:rPr>
          <w:rFonts w:eastAsia="Calibri"/>
          <w:noProof/>
          <w:lang w:val="es-DO"/>
        </w:rPr>
        <w:lastRenderedPageBreak/>
        <w:t>portal de la Contraloría General de la República, referente al Sistema de diagnóstico de las NOBACI, este refleja el resultado de la verificación de cumplimiento dentro de los procesos Institucionales de acuerdo con la documentación presentada como evidencia y validadas por el ente regulador.</w:t>
      </w:r>
    </w:p>
    <w:bookmarkEnd w:id="256"/>
    <w:p w14:paraId="7ED405A5" w14:textId="469B86F4" w:rsidR="00E1119D" w:rsidRPr="00232EBB" w:rsidRDefault="00E1119D" w:rsidP="000E7FC2">
      <w:pPr>
        <w:spacing w:line="360" w:lineRule="auto"/>
        <w:jc w:val="both"/>
        <w:rPr>
          <w:rFonts w:eastAsia="Calibri"/>
          <w:noProof/>
          <w:lang w:val="es-DO"/>
        </w:rPr>
      </w:pPr>
      <w:r w:rsidRPr="00232EBB">
        <w:rPr>
          <w:rFonts w:eastAsia="Calibri"/>
          <w:noProof/>
          <w:lang w:val="es-DO"/>
        </w:rPr>
        <w:t>E</w:t>
      </w:r>
      <w:r w:rsidR="000E7FC2" w:rsidRPr="00232EBB">
        <w:rPr>
          <w:rFonts w:eastAsia="Calibri"/>
          <w:noProof/>
          <w:lang w:val="es-DO"/>
        </w:rPr>
        <w:t>l</w:t>
      </w:r>
      <w:r w:rsidRPr="00232EBB">
        <w:rPr>
          <w:rFonts w:eastAsia="Calibri"/>
          <w:noProof/>
          <w:lang w:val="es-DO"/>
        </w:rPr>
        <w:t xml:space="preserve"> </w:t>
      </w:r>
      <w:r w:rsidR="000E7FC2" w:rsidRPr="00232EBB">
        <w:rPr>
          <w:rFonts w:eastAsia="Calibri"/>
          <w:noProof/>
          <w:lang w:val="es-DO"/>
        </w:rPr>
        <w:t>p</w:t>
      </w:r>
      <w:r w:rsidRPr="00232EBB">
        <w:rPr>
          <w:rFonts w:eastAsia="Calibri"/>
          <w:noProof/>
          <w:lang w:val="es-DO"/>
        </w:rPr>
        <w:t xml:space="preserve">royecto de Implementación </w:t>
      </w:r>
      <w:r w:rsidR="000E7FC2" w:rsidRPr="00232EBB">
        <w:rPr>
          <w:rFonts w:eastAsia="Calibri"/>
          <w:noProof/>
          <w:lang w:val="es-DO"/>
        </w:rPr>
        <w:t xml:space="preserve">de las </w:t>
      </w:r>
      <w:r w:rsidRPr="00232EBB">
        <w:rPr>
          <w:rFonts w:eastAsia="Calibri"/>
          <w:noProof/>
          <w:lang w:val="es-DO"/>
        </w:rPr>
        <w:t>Normas ISO 37001/373001 de cumplimiento y antisoborno que tienen como objetivo gestionar los riesgos de incumplimiento y promover una cultura de integridad y prevención de incumplimiento y la corrupción administrativa. De igual manera dar cumplimiento la Ley núm. 340-06 y decreto no. 36-21 y sus modificaciones.</w:t>
      </w:r>
      <w:r w:rsidR="000E7FC2" w:rsidRPr="00232EBB">
        <w:rPr>
          <w:rFonts w:eastAsia="Calibri"/>
          <w:noProof/>
          <w:lang w:val="es-DO"/>
        </w:rPr>
        <w:t xml:space="preserve"> </w:t>
      </w:r>
      <w:r w:rsidRPr="00232EBB">
        <w:rPr>
          <w:rFonts w:eastAsia="Calibri"/>
          <w:noProof/>
          <w:lang w:val="es-DO"/>
        </w:rPr>
        <w:t>Nuestro sistema Integrado se encuentra implementado y listo para realizar su auditor</w:t>
      </w:r>
      <w:r w:rsidR="000E7FC2" w:rsidRPr="00232EBB">
        <w:rPr>
          <w:rFonts w:eastAsia="Calibri"/>
          <w:noProof/>
          <w:lang w:val="es-DO"/>
        </w:rPr>
        <w:t>í</w:t>
      </w:r>
      <w:r w:rsidRPr="00232EBB">
        <w:rPr>
          <w:rFonts w:eastAsia="Calibri"/>
          <w:noProof/>
          <w:lang w:val="es-DO"/>
        </w:rPr>
        <w:t xml:space="preserve">a de </w:t>
      </w:r>
      <w:r w:rsidR="000E7FC2" w:rsidRPr="00232EBB">
        <w:rPr>
          <w:rFonts w:eastAsia="Calibri"/>
          <w:noProof/>
          <w:lang w:val="es-DO"/>
        </w:rPr>
        <w:t>c</w:t>
      </w:r>
      <w:r w:rsidRPr="00232EBB">
        <w:rPr>
          <w:rFonts w:eastAsia="Calibri"/>
          <w:noProof/>
          <w:lang w:val="es-DO"/>
        </w:rPr>
        <w:t>ertificación</w:t>
      </w:r>
      <w:r w:rsidR="000E7FC2" w:rsidRPr="00232EBB">
        <w:rPr>
          <w:rFonts w:eastAsia="Calibri"/>
          <w:noProof/>
          <w:lang w:val="es-DO"/>
        </w:rPr>
        <w:t>.</w:t>
      </w:r>
    </w:p>
    <w:p w14:paraId="678647E1" w14:textId="78B3727D" w:rsidR="00E1119D" w:rsidRPr="00232EBB" w:rsidRDefault="000E7FC2" w:rsidP="00E1119D">
      <w:pPr>
        <w:spacing w:line="360" w:lineRule="auto"/>
        <w:jc w:val="both"/>
        <w:rPr>
          <w:rFonts w:eastAsia="Calibri"/>
          <w:noProof/>
          <w:lang w:val="es-DO"/>
        </w:rPr>
      </w:pPr>
      <w:r w:rsidRPr="00232EBB">
        <w:rPr>
          <w:rFonts w:eastAsia="Calibri"/>
          <w:noProof/>
          <w:lang w:val="es-DO"/>
        </w:rPr>
        <w:t>Se realizó un p</w:t>
      </w:r>
      <w:r w:rsidR="00E1119D" w:rsidRPr="00232EBB">
        <w:rPr>
          <w:rFonts w:eastAsia="Calibri"/>
          <w:noProof/>
          <w:lang w:val="es-DO"/>
        </w:rPr>
        <w:t xml:space="preserve">lan de </w:t>
      </w:r>
      <w:r w:rsidRPr="00232EBB">
        <w:rPr>
          <w:rFonts w:eastAsia="Calibri"/>
          <w:noProof/>
          <w:lang w:val="es-DO"/>
        </w:rPr>
        <w:t>c</w:t>
      </w:r>
      <w:r w:rsidR="00E1119D" w:rsidRPr="00232EBB">
        <w:rPr>
          <w:rFonts w:eastAsia="Calibri"/>
          <w:noProof/>
          <w:lang w:val="es-DO"/>
        </w:rPr>
        <w:t xml:space="preserve">oncientización para </w:t>
      </w:r>
      <w:r w:rsidRPr="00232EBB">
        <w:rPr>
          <w:rFonts w:eastAsia="Calibri"/>
          <w:noProof/>
          <w:lang w:val="es-DO"/>
        </w:rPr>
        <w:t xml:space="preserve">el 100% de </w:t>
      </w:r>
      <w:r w:rsidR="00E1119D" w:rsidRPr="00232EBB">
        <w:rPr>
          <w:rFonts w:eastAsia="Calibri"/>
          <w:noProof/>
          <w:lang w:val="es-DO"/>
        </w:rPr>
        <w:t>los colaboradores</w:t>
      </w:r>
      <w:r w:rsidRPr="00232EBB">
        <w:rPr>
          <w:rFonts w:eastAsia="Calibri"/>
          <w:noProof/>
          <w:lang w:val="es-DO"/>
        </w:rPr>
        <w:t>,</w:t>
      </w:r>
      <w:r w:rsidR="00E1119D" w:rsidRPr="00232EBB">
        <w:rPr>
          <w:rFonts w:eastAsia="Calibri"/>
          <w:noProof/>
          <w:lang w:val="es-DO"/>
        </w:rPr>
        <w:t xml:space="preserve"> donde fueron sensibilizados sobre las Normas ISO 37001/370301.</w:t>
      </w:r>
      <w:r w:rsidRPr="00232EBB">
        <w:rPr>
          <w:rFonts w:eastAsia="Calibri"/>
          <w:noProof/>
          <w:lang w:val="es-DO"/>
        </w:rPr>
        <w:t xml:space="preserve"> Se </w:t>
      </w:r>
      <w:r w:rsidR="0025466A" w:rsidRPr="00232EBB">
        <w:rPr>
          <w:rFonts w:eastAsia="Calibri"/>
          <w:noProof/>
          <w:lang w:val="es-DO"/>
        </w:rPr>
        <w:t>llevaron a cabo</w:t>
      </w:r>
      <w:r w:rsidRPr="00232EBB">
        <w:rPr>
          <w:rFonts w:eastAsia="Calibri"/>
          <w:noProof/>
          <w:lang w:val="es-DO"/>
        </w:rPr>
        <w:t xml:space="preserve"> c</w:t>
      </w:r>
      <w:r w:rsidR="00E1119D" w:rsidRPr="00232EBB">
        <w:rPr>
          <w:rFonts w:eastAsia="Calibri"/>
          <w:noProof/>
          <w:lang w:val="es-DO"/>
        </w:rPr>
        <w:t xml:space="preserve">apacitaciones personalizadas para </w:t>
      </w:r>
      <w:r w:rsidR="0025466A" w:rsidRPr="00232EBB">
        <w:rPr>
          <w:rFonts w:eastAsia="Calibri"/>
          <w:noProof/>
          <w:lang w:val="es-DO"/>
        </w:rPr>
        <w:t>el</w:t>
      </w:r>
      <w:r w:rsidR="00E1119D" w:rsidRPr="00232EBB">
        <w:rPr>
          <w:rFonts w:eastAsia="Calibri"/>
          <w:noProof/>
          <w:lang w:val="es-DO"/>
        </w:rPr>
        <w:t xml:space="preserve"> Departamento de Compras y Contrataciones, Dirección Financiera y Dirección Jurídic</w:t>
      </w:r>
      <w:r w:rsidRPr="00232EBB">
        <w:rPr>
          <w:rFonts w:eastAsia="Calibri"/>
          <w:noProof/>
          <w:lang w:val="es-DO"/>
        </w:rPr>
        <w:t>a.</w:t>
      </w:r>
    </w:p>
    <w:p w14:paraId="4CD058DF" w14:textId="53E33E4C" w:rsidR="00E1119D" w:rsidRPr="00232EBB" w:rsidRDefault="00E661D6" w:rsidP="00E1119D">
      <w:pPr>
        <w:spacing w:line="360" w:lineRule="auto"/>
        <w:jc w:val="both"/>
        <w:rPr>
          <w:rFonts w:eastAsia="Calibri"/>
          <w:noProof/>
          <w:lang w:val="es-DO"/>
        </w:rPr>
      </w:pPr>
      <w:r w:rsidRPr="00232EBB">
        <w:rPr>
          <w:rFonts w:eastAsia="Calibri"/>
          <w:noProof/>
          <w:lang w:val="es-DO"/>
        </w:rPr>
        <w:t>A</w:t>
      </w:r>
      <w:r w:rsidR="00E1119D" w:rsidRPr="00232EBB">
        <w:rPr>
          <w:rFonts w:eastAsia="Calibri"/>
          <w:noProof/>
          <w:lang w:val="es-DO"/>
        </w:rPr>
        <w:t>lcanzamos una puntuaci</w:t>
      </w:r>
      <w:r w:rsidRPr="00232EBB">
        <w:rPr>
          <w:rFonts w:eastAsia="Calibri"/>
          <w:noProof/>
          <w:lang w:val="es-DO"/>
        </w:rPr>
        <w:t>ó</w:t>
      </w:r>
      <w:r w:rsidR="00E1119D" w:rsidRPr="00232EBB">
        <w:rPr>
          <w:rFonts w:eastAsia="Calibri"/>
          <w:noProof/>
          <w:lang w:val="es-DO"/>
        </w:rPr>
        <w:t>n de 96.95%</w:t>
      </w:r>
      <w:r w:rsidRPr="00232EBB">
        <w:rPr>
          <w:rFonts w:eastAsia="Calibri"/>
          <w:noProof/>
          <w:lang w:val="es-DO"/>
        </w:rPr>
        <w:t xml:space="preserve"> al tercer trimestre del año 2025</w:t>
      </w:r>
      <w:r w:rsidR="00E1119D" w:rsidRPr="00232EBB">
        <w:rPr>
          <w:rFonts w:eastAsia="Calibri"/>
          <w:noProof/>
          <w:lang w:val="es-DO"/>
        </w:rPr>
        <w:t>, y nos encontramos dentro de las instituciones que han realizado su auditoria de Cumplimiento dando seguimiento a trav</w:t>
      </w:r>
      <w:r w:rsidRPr="00232EBB">
        <w:rPr>
          <w:rFonts w:eastAsia="Calibri"/>
          <w:noProof/>
          <w:lang w:val="es-DO"/>
        </w:rPr>
        <w:t>é</w:t>
      </w:r>
      <w:r w:rsidR="00E1119D" w:rsidRPr="00232EBB">
        <w:rPr>
          <w:rFonts w:eastAsia="Calibri"/>
          <w:noProof/>
          <w:lang w:val="es-DO"/>
        </w:rPr>
        <w:t xml:space="preserve">s del </w:t>
      </w:r>
      <w:r w:rsidR="002700A6" w:rsidRPr="00232EBB">
        <w:rPr>
          <w:rFonts w:eastAsia="Calibri"/>
          <w:noProof/>
          <w:sz w:val="18"/>
          <w:szCs w:val="18"/>
          <w:lang w:val="es-ES"/>
        </w:rPr>
        <w:t>Í</w:t>
      </w:r>
      <w:r w:rsidR="00E1119D" w:rsidRPr="00232EBB">
        <w:rPr>
          <w:rFonts w:eastAsia="Calibri"/>
          <w:noProof/>
          <w:lang w:val="es-DO"/>
        </w:rPr>
        <w:t>ndice de Control Interno de la Contralor</w:t>
      </w:r>
      <w:r w:rsidRPr="00232EBB">
        <w:rPr>
          <w:rFonts w:eastAsia="Calibri"/>
          <w:noProof/>
          <w:lang w:val="es-DO"/>
        </w:rPr>
        <w:t>í</w:t>
      </w:r>
      <w:r w:rsidR="00E1119D" w:rsidRPr="00232EBB">
        <w:rPr>
          <w:rFonts w:eastAsia="Calibri"/>
          <w:noProof/>
          <w:lang w:val="es-DO"/>
        </w:rPr>
        <w:t>a General de la Rep</w:t>
      </w:r>
      <w:r w:rsidRPr="00232EBB">
        <w:rPr>
          <w:rFonts w:eastAsia="Calibri"/>
          <w:noProof/>
          <w:lang w:val="es-DO"/>
        </w:rPr>
        <w:t>ú</w:t>
      </w:r>
      <w:r w:rsidR="00E1119D" w:rsidRPr="00232EBB">
        <w:rPr>
          <w:rFonts w:eastAsia="Calibri"/>
          <w:noProof/>
          <w:lang w:val="es-DO"/>
        </w:rPr>
        <w:t xml:space="preserve">blica. </w:t>
      </w:r>
    </w:p>
    <w:p w14:paraId="38D9B74C" w14:textId="30FDABCC" w:rsidR="00C05111" w:rsidRPr="00232EBB" w:rsidRDefault="00C45649" w:rsidP="00E1119D">
      <w:pPr>
        <w:spacing w:line="360" w:lineRule="auto"/>
        <w:jc w:val="both"/>
        <w:rPr>
          <w:rFonts w:eastAsia="Calibri"/>
          <w:noProof/>
          <w:lang w:val="es-DO"/>
        </w:rPr>
      </w:pPr>
      <w:r w:rsidRPr="00232EBB">
        <w:rPr>
          <w:rFonts w:eastAsia="Calibri"/>
          <w:noProof/>
          <w:lang w:val="es-DO"/>
        </w:rPr>
        <w:lastRenderedPageBreak/>
        <w:drawing>
          <wp:inline distT="0" distB="0" distL="0" distR="0" wp14:anchorId="0EB4878B" wp14:editId="3EC093D5">
            <wp:extent cx="4894748" cy="3855720"/>
            <wp:effectExtent l="0" t="0" r="1270" b="0"/>
            <wp:docPr id="75497342" name="Imagen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97342" name="Imagen 1" descr="A screenshot of a computer&#10;&#10;AI-generated content may be incorrect."/>
                    <pic:cNvPicPr>
                      <a:picLocks noChangeAspect="1" noChangeArrowheads="1"/>
                    </pic:cNvPicPr>
                  </pic:nvPicPr>
                  <pic:blipFill rotWithShape="1">
                    <a:blip r:embed="rId51">
                      <a:extLst>
                        <a:ext uri="{28A0092B-C50C-407E-A947-70E740481C1C}">
                          <a14:useLocalDpi xmlns:a14="http://schemas.microsoft.com/office/drawing/2010/main" val="0"/>
                        </a:ext>
                      </a:extLst>
                    </a:blip>
                    <a:srcRect t="3574"/>
                    <a:stretch/>
                  </pic:blipFill>
                  <pic:spPr bwMode="auto">
                    <a:xfrm>
                      <a:off x="0" y="0"/>
                      <a:ext cx="4916973" cy="3873227"/>
                    </a:xfrm>
                    <a:prstGeom prst="rect">
                      <a:avLst/>
                    </a:prstGeom>
                    <a:noFill/>
                    <a:ln>
                      <a:noFill/>
                    </a:ln>
                    <a:extLst>
                      <a:ext uri="{53640926-AAD7-44D8-BBD7-CCE9431645EC}">
                        <a14:shadowObscured xmlns:a14="http://schemas.microsoft.com/office/drawing/2010/main"/>
                      </a:ext>
                    </a:extLst>
                  </pic:spPr>
                </pic:pic>
              </a:graphicData>
            </a:graphic>
          </wp:inline>
        </w:drawing>
      </w:r>
    </w:p>
    <w:p w14:paraId="2A6E8C01" w14:textId="2B7C752D" w:rsidR="006852A9" w:rsidRPr="00232EBB" w:rsidRDefault="006852A9" w:rsidP="006852A9">
      <w:pPr>
        <w:spacing w:before="240" w:line="360" w:lineRule="auto"/>
        <w:rPr>
          <w:lang w:val="es-ES"/>
        </w:rPr>
      </w:pPr>
      <w:r w:rsidRPr="00232EBB">
        <w:rPr>
          <w:rFonts w:eastAsia="Calibri"/>
          <w:noProof/>
          <w:lang w:val="es-DO"/>
        </w:rPr>
        <w:t xml:space="preserve"> </w:t>
      </w:r>
      <w:bookmarkStart w:id="257" w:name="_Toc139461517"/>
      <w:bookmarkStart w:id="258" w:name="_Toc140587663"/>
      <w:r w:rsidRPr="00232EBB">
        <w:rPr>
          <w:rFonts w:eastAsia="Calibri"/>
          <w:b/>
          <w:bCs/>
          <w:noProof/>
          <w:sz w:val="18"/>
          <w:szCs w:val="18"/>
          <w:lang w:val="es-ES"/>
        </w:rPr>
        <w:t xml:space="preserve"> </w:t>
      </w:r>
      <w:r w:rsidRPr="00232EBB">
        <w:rPr>
          <w:rFonts w:eastAsia="Calibri"/>
          <w:b/>
          <w:bCs/>
          <w:noProof/>
          <w:sz w:val="18"/>
          <w:szCs w:val="18"/>
          <w:lang w:val="es-DO"/>
        </w:rPr>
        <w:t xml:space="preserve">Imagen </w:t>
      </w:r>
      <w:r w:rsidR="00E14CB6" w:rsidRPr="00232EBB">
        <w:rPr>
          <w:rFonts w:eastAsia="Calibri"/>
          <w:b/>
          <w:bCs/>
          <w:noProof/>
          <w:sz w:val="18"/>
          <w:szCs w:val="18"/>
          <w:lang w:val="es-DO"/>
        </w:rPr>
        <w:t>3</w:t>
      </w:r>
      <w:r w:rsidRPr="00232EBB">
        <w:rPr>
          <w:rFonts w:eastAsia="Calibri"/>
          <w:b/>
          <w:bCs/>
          <w:noProof/>
          <w:sz w:val="18"/>
          <w:szCs w:val="18"/>
          <w:lang w:val="es-DO"/>
        </w:rPr>
        <w:t>:</w:t>
      </w:r>
      <w:r w:rsidRPr="00232EBB">
        <w:rPr>
          <w:rFonts w:eastAsia="Calibri"/>
          <w:b/>
          <w:bCs/>
          <w:noProof/>
          <w:sz w:val="18"/>
          <w:szCs w:val="18"/>
          <w:lang w:val="es-ES"/>
        </w:rPr>
        <w:t xml:space="preserve"> </w:t>
      </w:r>
      <w:r w:rsidRPr="00232EBB">
        <w:rPr>
          <w:rFonts w:eastAsia="Calibri"/>
          <w:noProof/>
          <w:sz w:val="18"/>
          <w:szCs w:val="18"/>
          <w:lang w:val="es-ES"/>
        </w:rPr>
        <w:t>Reporte Índice de Control Interno.</w:t>
      </w:r>
      <w:bookmarkEnd w:id="257"/>
      <w:bookmarkEnd w:id="258"/>
    </w:p>
    <w:p w14:paraId="2303E3BB" w14:textId="77777777" w:rsidR="003E5FCE" w:rsidRPr="00232EBB" w:rsidRDefault="003E5FCE" w:rsidP="009F54E3">
      <w:pPr>
        <w:pStyle w:val="Heading1"/>
        <w:spacing w:after="240" w:line="259" w:lineRule="auto"/>
        <w:jc w:val="both"/>
        <w:rPr>
          <w:rFonts w:cs="Times New Roman"/>
          <w:spacing w:val="0"/>
          <w:lang w:val="es-DO"/>
        </w:rPr>
      </w:pPr>
      <w:bookmarkStart w:id="259" w:name="_Toc139461515"/>
      <w:bookmarkStart w:id="260" w:name="_Toc140587658"/>
      <w:bookmarkStart w:id="261" w:name="_Toc172121430"/>
      <w:bookmarkStart w:id="262" w:name="_Toc216952265"/>
      <w:bookmarkStart w:id="263" w:name="_Toc172121435"/>
      <w:r w:rsidRPr="00232EBB">
        <w:rPr>
          <w:rFonts w:cs="Times New Roman"/>
          <w:spacing w:val="0"/>
          <w:lang w:val="es-DO"/>
        </w:rPr>
        <w:t>4.5. Desempeño del Sistema de Planificación y Desarrollo Institucional</w:t>
      </w:r>
      <w:bookmarkEnd w:id="259"/>
      <w:bookmarkEnd w:id="260"/>
      <w:bookmarkEnd w:id="261"/>
      <w:bookmarkEnd w:id="262"/>
    </w:p>
    <w:p w14:paraId="67443401" w14:textId="22189674" w:rsidR="003E5FCE" w:rsidRPr="00232EBB" w:rsidRDefault="003E5FCE" w:rsidP="009F54E3">
      <w:pPr>
        <w:spacing w:line="360" w:lineRule="auto"/>
        <w:jc w:val="both"/>
        <w:rPr>
          <w:rFonts w:eastAsia="Calibri"/>
          <w:noProof/>
          <w:lang w:val="es-DO"/>
        </w:rPr>
      </w:pPr>
      <w:r w:rsidRPr="00232EBB">
        <w:rPr>
          <w:rFonts w:eastAsia="Calibri"/>
          <w:noProof/>
          <w:lang w:val="es-DO"/>
        </w:rPr>
        <w:t>La Dirección de Planificación y Desarrollo de la Tesorería de la Seguridad Social (TSS), es un área transversal a toda la organización y tiene la responsabilidad de asesorar a la Institución en materia de políticas, planes, programas y proyectos de la institución, así como la formulación del Plan Estratégico Institucional y los presupuestos institucionales</w:t>
      </w:r>
      <w:r w:rsidR="002700A6" w:rsidRPr="00232EBB">
        <w:rPr>
          <w:rFonts w:eastAsia="Calibri"/>
          <w:noProof/>
          <w:lang w:val="es-DO"/>
        </w:rPr>
        <w:t>.</w:t>
      </w:r>
      <w:r w:rsidRPr="00232EBB">
        <w:rPr>
          <w:rFonts w:eastAsia="Calibri"/>
          <w:noProof/>
          <w:lang w:val="es-DO"/>
        </w:rPr>
        <w:t xml:space="preserve"> </w:t>
      </w:r>
      <w:r w:rsidR="002700A6" w:rsidRPr="00232EBB">
        <w:rPr>
          <w:rFonts w:eastAsia="Calibri"/>
          <w:noProof/>
          <w:lang w:val="es-DO"/>
        </w:rPr>
        <w:t>D</w:t>
      </w:r>
      <w:r w:rsidRPr="00232EBB">
        <w:rPr>
          <w:rFonts w:eastAsia="Calibri"/>
          <w:noProof/>
          <w:lang w:val="es-DO"/>
        </w:rPr>
        <w:t xml:space="preserve">entro de su gestión contempla los  cambios organizacionales y de reingeniería de procesos y el sistema de gestión de Desarrollo Institucional y Calidad en la Gestión. </w:t>
      </w:r>
    </w:p>
    <w:p w14:paraId="3E8BF79C" w14:textId="5CE253F4" w:rsidR="003E5FCE" w:rsidRPr="00232EBB" w:rsidRDefault="003E5FCE" w:rsidP="009F54E3">
      <w:pPr>
        <w:spacing w:line="360" w:lineRule="auto"/>
        <w:jc w:val="both"/>
        <w:rPr>
          <w:rFonts w:eastAsia="Calibri"/>
          <w:noProof/>
          <w:lang w:val="es-DO"/>
        </w:rPr>
      </w:pPr>
      <w:r w:rsidRPr="00232EBB">
        <w:rPr>
          <w:rFonts w:eastAsia="Calibri"/>
          <w:noProof/>
          <w:lang w:val="es-DO"/>
        </w:rPr>
        <w:t xml:space="preserve">La TSS </w:t>
      </w:r>
      <w:r w:rsidR="00642ADF" w:rsidRPr="00232EBB">
        <w:rPr>
          <w:rFonts w:eastAsia="Calibri"/>
          <w:noProof/>
          <w:lang w:val="es-DO"/>
        </w:rPr>
        <w:t>realiz</w:t>
      </w:r>
      <w:r w:rsidR="002700A6" w:rsidRPr="00232EBB">
        <w:rPr>
          <w:rFonts w:eastAsia="Calibri"/>
          <w:noProof/>
          <w:lang w:val="es-DO"/>
        </w:rPr>
        <w:t>ó</w:t>
      </w:r>
      <w:r w:rsidR="00642ADF" w:rsidRPr="00232EBB">
        <w:rPr>
          <w:rFonts w:eastAsia="Calibri"/>
          <w:noProof/>
          <w:lang w:val="es-DO"/>
        </w:rPr>
        <w:t xml:space="preserve"> en el mes de agosto, el</w:t>
      </w:r>
      <w:r w:rsidRPr="00232EBB">
        <w:rPr>
          <w:rFonts w:eastAsia="Calibri"/>
          <w:noProof/>
          <w:lang w:val="es-DO"/>
        </w:rPr>
        <w:t xml:space="preserve"> proceso de Formulación del Anteproyecto de presupuesto 202</w:t>
      </w:r>
      <w:r w:rsidR="00583FAD" w:rsidRPr="00232EBB">
        <w:rPr>
          <w:rFonts w:eastAsia="Calibri"/>
          <w:noProof/>
          <w:lang w:val="es-DO"/>
        </w:rPr>
        <w:t>6</w:t>
      </w:r>
      <w:r w:rsidRPr="00232EBB">
        <w:rPr>
          <w:rFonts w:eastAsia="Calibri"/>
          <w:noProof/>
          <w:lang w:val="es-DO"/>
        </w:rPr>
        <w:t xml:space="preserve"> de acuerdo al calendario de DIGEPRES,  donde se mantienen aprobada la propuesta de </w:t>
      </w:r>
      <w:r w:rsidRPr="00232EBB">
        <w:rPr>
          <w:rFonts w:eastAsia="Calibri"/>
          <w:noProof/>
          <w:lang w:val="es-DO"/>
        </w:rPr>
        <w:lastRenderedPageBreak/>
        <w:t xml:space="preserve">estrucutura programatica con los productos 7333, 7334 y 7335 e indicadores que reflejan la naturaleza para la cual fue creada la TSS, asociados al SUIR por ser la entidad a cargo de la base de datos del SDSS y de sometimientos y sanciones a empleadores morosos facultad otorgada por la Ley no. 13-20. Los resultados alcanzados </w:t>
      </w:r>
      <w:r w:rsidR="00987B2F" w:rsidRPr="00232EBB">
        <w:rPr>
          <w:rFonts w:eastAsia="Calibri"/>
          <w:noProof/>
          <w:lang w:val="es-DO"/>
        </w:rPr>
        <w:t>al</w:t>
      </w:r>
      <w:r w:rsidRPr="00232EBB">
        <w:rPr>
          <w:rFonts w:eastAsia="Calibri"/>
          <w:noProof/>
          <w:lang w:val="es-DO"/>
        </w:rPr>
        <w:t xml:space="preserve"> tercer trimestre del 202</w:t>
      </w:r>
      <w:r w:rsidR="00583FAD" w:rsidRPr="00232EBB">
        <w:rPr>
          <w:rFonts w:eastAsia="Calibri"/>
          <w:noProof/>
          <w:lang w:val="es-DO"/>
        </w:rPr>
        <w:t>5</w:t>
      </w:r>
      <w:r w:rsidR="002700A6" w:rsidRPr="00232EBB">
        <w:rPr>
          <w:rFonts w:eastAsia="Calibri"/>
          <w:noProof/>
          <w:lang w:val="es-DO"/>
        </w:rPr>
        <w:t xml:space="preserve"> en el Indice de la gestión Presupuestaria</w:t>
      </w:r>
      <w:r w:rsidRPr="00232EBB">
        <w:rPr>
          <w:rFonts w:eastAsia="Calibri"/>
          <w:noProof/>
          <w:lang w:val="es-DO"/>
        </w:rPr>
        <w:t xml:space="preserve"> </w:t>
      </w:r>
      <w:r w:rsidR="002700A6" w:rsidRPr="00232EBB">
        <w:rPr>
          <w:rFonts w:eastAsia="Calibri"/>
          <w:noProof/>
          <w:lang w:val="es-DO"/>
        </w:rPr>
        <w:t>fueron de</w:t>
      </w:r>
      <w:r w:rsidRPr="00232EBB">
        <w:rPr>
          <w:rFonts w:eastAsia="Calibri"/>
          <w:noProof/>
          <w:lang w:val="es-DO"/>
        </w:rPr>
        <w:t xml:space="preserve"> </w:t>
      </w:r>
      <w:r w:rsidR="00583FAD" w:rsidRPr="00232EBB">
        <w:rPr>
          <w:rFonts w:eastAsia="Calibri"/>
          <w:noProof/>
          <w:lang w:val="es-DO"/>
        </w:rPr>
        <w:t>94</w:t>
      </w:r>
      <w:r w:rsidRPr="00232EBB">
        <w:rPr>
          <w:rFonts w:eastAsia="Calibri"/>
          <w:noProof/>
          <w:lang w:val="es-DO"/>
        </w:rPr>
        <w:t xml:space="preserve">%, </w:t>
      </w:r>
      <w:r w:rsidR="00583FAD" w:rsidRPr="00232EBB">
        <w:rPr>
          <w:rFonts w:eastAsia="Calibri"/>
          <w:noProof/>
          <w:lang w:val="es-DO"/>
        </w:rPr>
        <w:t>93</w:t>
      </w:r>
      <w:r w:rsidRPr="00232EBB">
        <w:rPr>
          <w:rFonts w:eastAsia="Calibri"/>
          <w:noProof/>
          <w:lang w:val="es-DO"/>
        </w:rPr>
        <w:t>% y 9</w:t>
      </w:r>
      <w:r w:rsidR="00583FAD" w:rsidRPr="00232EBB">
        <w:rPr>
          <w:rFonts w:eastAsia="Calibri"/>
          <w:noProof/>
          <w:lang w:val="es-DO"/>
        </w:rPr>
        <w:t>4</w:t>
      </w:r>
      <w:r w:rsidRPr="00232EBB">
        <w:rPr>
          <w:rFonts w:eastAsia="Calibri"/>
          <w:noProof/>
          <w:lang w:val="es-DO"/>
        </w:rPr>
        <w:t xml:space="preserve">% respectivamente </w:t>
      </w:r>
      <w:r w:rsidR="002700A6" w:rsidRPr="00232EBB">
        <w:rPr>
          <w:rFonts w:eastAsia="Calibri"/>
          <w:noProof/>
          <w:lang w:val="es-DO"/>
        </w:rPr>
        <w:t>conforme a lo</w:t>
      </w:r>
      <w:r w:rsidRPr="00232EBB">
        <w:rPr>
          <w:rFonts w:eastAsia="Calibri"/>
          <w:noProof/>
          <w:lang w:val="es-DO"/>
        </w:rPr>
        <w:t xml:space="preserve"> citado.</w:t>
      </w:r>
    </w:p>
    <w:p w14:paraId="7E6A60F5" w14:textId="77777777" w:rsidR="004655D8" w:rsidRPr="00232EBB" w:rsidRDefault="003E5FCE" w:rsidP="004655D8">
      <w:pPr>
        <w:spacing w:line="360" w:lineRule="auto"/>
        <w:jc w:val="both"/>
        <w:rPr>
          <w:rFonts w:eastAsia="Calibri"/>
          <w:noProof/>
          <w:lang w:val="es-DO"/>
        </w:rPr>
      </w:pPr>
      <w:r w:rsidRPr="00232EBB">
        <w:rPr>
          <w:rFonts w:eastAsia="Calibri"/>
          <w:noProof/>
          <w:lang w:val="es-DO"/>
        </w:rPr>
        <w:t>Como parte del fortalecimiento institucional,  se ha identificado la automatización de los procesos internos para la rápida respuesta a nuestras partes interesadas, como lo es el de planificación estratégica y presupuestaria que permitirá una automatización y mayor precisión de nuestras actividades, fortalecer la toma de decisiones basado en evidencias, lograr una disminución en la programación y apoyo a las áreas para elaborar la planificación anual y estratégica, los seguimientos oportunos, así como, tener un mayor control de las variaciones que va sufriendo el presupuesto conforme se ejecutan las actividades mensuales.</w:t>
      </w:r>
    </w:p>
    <w:p w14:paraId="1A89602F" w14:textId="2C7FDBF5" w:rsidR="004655D8" w:rsidRPr="00232EBB" w:rsidRDefault="004655D8" w:rsidP="004655D8">
      <w:pPr>
        <w:spacing w:line="360" w:lineRule="auto"/>
        <w:jc w:val="both"/>
        <w:rPr>
          <w:rFonts w:eastAsia="Calibri"/>
          <w:noProof/>
          <w:lang w:val="es-DO"/>
        </w:rPr>
      </w:pPr>
      <w:r w:rsidRPr="00232EBB">
        <w:rPr>
          <w:noProof/>
          <w:lang w:val="es-MX"/>
        </w:rPr>
        <w:t xml:space="preserve">La Tesorería de la Seguridad Social (TSS), en línea con su misión de velar por la eficiencia y transparencia, ha </w:t>
      </w:r>
      <w:r w:rsidR="00C05111" w:rsidRPr="00232EBB">
        <w:rPr>
          <w:noProof/>
          <w:lang w:val="es-MX"/>
        </w:rPr>
        <w:t>validado</w:t>
      </w:r>
      <w:r w:rsidRPr="00232EBB">
        <w:rPr>
          <w:noProof/>
          <w:lang w:val="es-MX"/>
        </w:rPr>
        <w:t xml:space="preserve"> el presente Plan Estratégico Institucional (PEI)</w:t>
      </w:r>
      <w:r w:rsidR="00C05111" w:rsidRPr="00232EBB">
        <w:rPr>
          <w:noProof/>
          <w:lang w:val="es-MX"/>
        </w:rPr>
        <w:t xml:space="preserve"> con el Ministerio de Hacienda y Econom</w:t>
      </w:r>
      <w:r w:rsidR="002C338F" w:rsidRPr="00232EBB">
        <w:rPr>
          <w:noProof/>
          <w:lang w:val="es-MX"/>
        </w:rPr>
        <w:t>í</w:t>
      </w:r>
      <w:r w:rsidR="00C05111" w:rsidRPr="00232EBB">
        <w:rPr>
          <w:noProof/>
          <w:lang w:val="es-MX"/>
        </w:rPr>
        <w:t>a</w:t>
      </w:r>
      <w:r w:rsidRPr="00232EBB">
        <w:rPr>
          <w:noProof/>
          <w:lang w:val="es-MX"/>
        </w:rPr>
        <w:t xml:space="preserve">,buscando fortalecer su gestión y velar por su alineación con los </w:t>
      </w:r>
      <w:r w:rsidR="00C05111" w:rsidRPr="00232EBB">
        <w:rPr>
          <w:noProof/>
          <w:lang w:val="es-MX"/>
        </w:rPr>
        <w:t>instrumentos de planificación nacional y la agenda 2030</w:t>
      </w:r>
      <w:r w:rsidRPr="00232EBB">
        <w:rPr>
          <w:noProof/>
          <w:lang w:val="es-MX"/>
        </w:rPr>
        <w:t>, que establece las directrices y prioridades a nivel nacional. En este sentido, el PEI de la TSS está diseñado para alinear sus metas internas con las metas nacionales, realizando una correcta gestión de los recursos financieros del SDSS.</w:t>
      </w:r>
    </w:p>
    <w:p w14:paraId="233B9F14" w14:textId="77777777" w:rsidR="004655D8" w:rsidRPr="00232EBB" w:rsidRDefault="004655D8" w:rsidP="004655D8">
      <w:pPr>
        <w:pStyle w:val="Body"/>
        <w:rPr>
          <w:rFonts w:ascii="Times New Roman" w:hAnsi="Times New Roman" w:cs="Times New Roman"/>
          <w:noProof/>
          <w:color w:val="767171"/>
          <w:spacing w:val="20"/>
        </w:rPr>
      </w:pPr>
      <w:r w:rsidRPr="00232EBB">
        <w:rPr>
          <w:rFonts w:ascii="Times New Roman" w:hAnsi="Times New Roman" w:cs="Times New Roman"/>
          <w:noProof/>
          <w:color w:val="767171"/>
          <w:spacing w:val="20"/>
        </w:rPr>
        <w:t xml:space="preserve">El Plan Estratégico Institucional está estructurado en torno a objetivos claros y medibles, que buscan establecer un servicio y una gestión operativa que maximice la interacción y el servicio de calidad a los usuarios, la eficiencia operativa, el incremento en el </w:t>
      </w:r>
      <w:r w:rsidRPr="00232EBB">
        <w:rPr>
          <w:rFonts w:ascii="Times New Roman" w:hAnsi="Times New Roman" w:cs="Times New Roman"/>
          <w:noProof/>
          <w:color w:val="767171"/>
          <w:spacing w:val="20"/>
        </w:rPr>
        <w:lastRenderedPageBreak/>
        <w:t>alcance a las empresas y grupos de interés, al igual que la formalización de estos. Se prioriza, además, el posicionamiento institucional de la TSS como un impulsor facilitador del cumplimiento de las iniciativas y objetivos estratégicos. Dentro del proceso de planificación estratégica, la TSS ha definido indicadores estratégicos, los cuales permitirán realizar un seguimiento consecuente respecto al progreso de sus acciones, fomentando las sanas prácticas, el desarrollo continuo y validando nuevamente su compromiso y misión de administrar y manejar correctamente los recursos financieros del SDSS.</w:t>
      </w:r>
    </w:p>
    <w:p w14:paraId="05B1E4C2" w14:textId="06D09D9B" w:rsidR="003E5FCE" w:rsidRPr="00232EBB" w:rsidRDefault="003E5FCE" w:rsidP="009F54E3">
      <w:pPr>
        <w:spacing w:line="360" w:lineRule="auto"/>
        <w:jc w:val="both"/>
        <w:rPr>
          <w:rFonts w:eastAsia="Calibri"/>
          <w:noProof/>
          <w:lang w:val="es-DO"/>
        </w:rPr>
      </w:pPr>
      <w:r w:rsidRPr="00232EBB">
        <w:rPr>
          <w:rFonts w:eastAsia="Calibri"/>
          <w:noProof/>
          <w:lang w:val="es-DO"/>
        </w:rPr>
        <w:t>A través de los seguimientos trimestrales realizados por la Dirección de Planificación y Desarrollo mediante las fichas de seguimiento del Plan Operativo Anual, se obtienen los resultados de los logros alcanzados por la TSS de los productos definidos en los diferentes ejes de nuestro plan estrat</w:t>
      </w:r>
      <w:r w:rsidR="005C4045" w:rsidRPr="00232EBB">
        <w:rPr>
          <w:rFonts w:eastAsia="Calibri"/>
          <w:noProof/>
          <w:lang w:val="es-DO"/>
        </w:rPr>
        <w:t>é</w:t>
      </w:r>
      <w:r w:rsidRPr="00232EBB">
        <w:rPr>
          <w:rFonts w:eastAsia="Calibri"/>
          <w:noProof/>
          <w:lang w:val="es-DO"/>
        </w:rPr>
        <w:t xml:space="preserve">gico vigente. Estos resultados </w:t>
      </w:r>
      <w:r w:rsidR="004655D8" w:rsidRPr="00232EBB">
        <w:rPr>
          <w:rFonts w:eastAsia="Calibri"/>
          <w:noProof/>
          <w:lang w:val="es-DO"/>
        </w:rPr>
        <w:t xml:space="preserve">al tercer trimestre </w:t>
      </w:r>
      <w:r w:rsidRPr="00232EBB">
        <w:rPr>
          <w:rFonts w:eastAsia="Calibri"/>
          <w:noProof/>
          <w:lang w:val="es-DO"/>
        </w:rPr>
        <w:t xml:space="preserve">se detallan a continuación: </w:t>
      </w:r>
    </w:p>
    <w:p w14:paraId="6439DD31" w14:textId="40261B46" w:rsidR="004655D8" w:rsidRPr="00232EBB" w:rsidRDefault="003E5FCE" w:rsidP="009F54E3">
      <w:pPr>
        <w:spacing w:line="360" w:lineRule="auto"/>
        <w:jc w:val="both"/>
        <w:rPr>
          <w:rFonts w:eastAsia="Calibri"/>
          <w:noProof/>
          <w:lang w:val="es-DO"/>
        </w:rPr>
      </w:pPr>
      <w:r w:rsidRPr="00232EBB">
        <w:rPr>
          <w:rFonts w:eastAsia="Calibri"/>
          <w:noProof/>
          <w:lang w:val="es-DO"/>
        </w:rPr>
        <w:t>EJE</w:t>
      </w:r>
      <w:r w:rsidR="004655D8" w:rsidRPr="00232EBB">
        <w:rPr>
          <w:rFonts w:eastAsia="Calibri"/>
          <w:noProof/>
          <w:lang w:val="es-DO"/>
        </w:rPr>
        <w:t xml:space="preserve"> 1: Regulación y Supervisión con un avance de un 70%</w:t>
      </w:r>
      <w:r w:rsidR="002C338F" w:rsidRPr="00232EBB">
        <w:rPr>
          <w:rFonts w:eastAsia="Calibri"/>
          <w:noProof/>
          <w:lang w:val="es-DO"/>
        </w:rPr>
        <w:t>.</w:t>
      </w:r>
    </w:p>
    <w:p w14:paraId="188A6112" w14:textId="10F11B08" w:rsidR="003E5FCE" w:rsidRPr="00232EBB" w:rsidRDefault="003E5FCE" w:rsidP="009F54E3">
      <w:pPr>
        <w:spacing w:line="360" w:lineRule="auto"/>
        <w:jc w:val="both"/>
        <w:rPr>
          <w:rFonts w:eastAsia="Calibri"/>
          <w:noProof/>
          <w:lang w:val="es-DO"/>
        </w:rPr>
      </w:pPr>
      <w:r w:rsidRPr="00232EBB">
        <w:rPr>
          <w:rFonts w:eastAsia="Calibri"/>
          <w:noProof/>
          <w:lang w:val="es-DO"/>
        </w:rPr>
        <w:t>EJE</w:t>
      </w:r>
      <w:r w:rsidR="004655D8" w:rsidRPr="00232EBB">
        <w:rPr>
          <w:rFonts w:eastAsia="Calibri"/>
          <w:noProof/>
          <w:lang w:val="es-DO"/>
        </w:rPr>
        <w:t xml:space="preserve"> </w:t>
      </w:r>
      <w:r w:rsidRPr="00232EBB">
        <w:rPr>
          <w:rFonts w:eastAsia="Calibri"/>
          <w:noProof/>
          <w:lang w:val="es-DO"/>
        </w:rPr>
        <w:t xml:space="preserve">2: </w:t>
      </w:r>
      <w:r w:rsidR="004655D8" w:rsidRPr="00232EBB">
        <w:rPr>
          <w:rFonts w:eastAsia="Calibri"/>
          <w:noProof/>
          <w:lang w:val="es-DO"/>
        </w:rPr>
        <w:t xml:space="preserve">Servicios y Posicionamiento Institucional </w:t>
      </w:r>
      <w:r w:rsidRPr="00232EBB">
        <w:rPr>
          <w:rFonts w:eastAsia="Calibri"/>
          <w:noProof/>
          <w:lang w:val="es-DO"/>
        </w:rPr>
        <w:t xml:space="preserve">con un avance de </w:t>
      </w:r>
      <w:r w:rsidR="004655D8" w:rsidRPr="00232EBB">
        <w:rPr>
          <w:rFonts w:eastAsia="Calibri"/>
          <w:noProof/>
          <w:lang w:val="es-DO"/>
        </w:rPr>
        <w:t>61</w:t>
      </w:r>
      <w:r w:rsidRPr="00232EBB">
        <w:rPr>
          <w:rFonts w:eastAsia="Calibri"/>
          <w:noProof/>
          <w:lang w:val="es-DO"/>
        </w:rPr>
        <w:t>%</w:t>
      </w:r>
      <w:r w:rsidR="002C338F" w:rsidRPr="00232EBB">
        <w:rPr>
          <w:rFonts w:eastAsia="Calibri"/>
          <w:noProof/>
          <w:lang w:val="es-DO"/>
        </w:rPr>
        <w:t>.</w:t>
      </w:r>
    </w:p>
    <w:p w14:paraId="1DD1E869" w14:textId="0CA6CA24" w:rsidR="003E5FCE" w:rsidRPr="00232EBB" w:rsidRDefault="003E5FCE" w:rsidP="009F54E3">
      <w:pPr>
        <w:spacing w:line="360" w:lineRule="auto"/>
        <w:jc w:val="both"/>
        <w:rPr>
          <w:rFonts w:eastAsia="Calibri"/>
          <w:noProof/>
          <w:lang w:val="es-DO"/>
        </w:rPr>
      </w:pPr>
      <w:r w:rsidRPr="00232EBB">
        <w:rPr>
          <w:rFonts w:eastAsia="Calibri"/>
          <w:noProof/>
          <w:lang w:val="es-DO"/>
        </w:rPr>
        <w:t>EJE</w:t>
      </w:r>
      <w:r w:rsidR="004655D8" w:rsidRPr="00232EBB">
        <w:rPr>
          <w:rFonts w:eastAsia="Calibri"/>
          <w:noProof/>
          <w:lang w:val="es-DO"/>
        </w:rPr>
        <w:t xml:space="preserve"> </w:t>
      </w:r>
      <w:r w:rsidRPr="00232EBB">
        <w:rPr>
          <w:rFonts w:eastAsia="Calibri"/>
          <w:noProof/>
          <w:lang w:val="es-DO"/>
        </w:rPr>
        <w:t xml:space="preserve">3: </w:t>
      </w:r>
      <w:r w:rsidR="004655D8" w:rsidRPr="00232EBB">
        <w:rPr>
          <w:rFonts w:eastAsia="Calibri"/>
          <w:noProof/>
          <w:lang w:val="es-DO"/>
        </w:rPr>
        <w:t xml:space="preserve">Gobernanza y Excelencia Operativa </w:t>
      </w:r>
      <w:r w:rsidRPr="00232EBB">
        <w:rPr>
          <w:rFonts w:eastAsia="Calibri"/>
          <w:noProof/>
          <w:lang w:val="es-DO"/>
        </w:rPr>
        <w:t xml:space="preserve">con un avance de </w:t>
      </w:r>
      <w:r w:rsidR="004655D8" w:rsidRPr="00232EBB">
        <w:rPr>
          <w:rFonts w:eastAsia="Calibri"/>
          <w:noProof/>
          <w:lang w:val="es-DO"/>
        </w:rPr>
        <w:t>68</w:t>
      </w:r>
      <w:r w:rsidRPr="00232EBB">
        <w:rPr>
          <w:rFonts w:eastAsia="Calibri"/>
          <w:noProof/>
          <w:lang w:val="es-DO"/>
        </w:rPr>
        <w:t>%</w:t>
      </w:r>
      <w:r w:rsidR="002C338F" w:rsidRPr="00232EBB">
        <w:rPr>
          <w:rFonts w:eastAsia="Calibri"/>
          <w:noProof/>
          <w:lang w:val="es-DO"/>
        </w:rPr>
        <w:t>.</w:t>
      </w:r>
    </w:p>
    <w:p w14:paraId="4EE41EE3" w14:textId="75A57E72" w:rsidR="004655D8" w:rsidRPr="00232EBB" w:rsidRDefault="004655D8" w:rsidP="004655D8">
      <w:pPr>
        <w:spacing w:line="360" w:lineRule="auto"/>
        <w:jc w:val="both"/>
        <w:rPr>
          <w:rFonts w:eastAsia="Calibri"/>
          <w:noProof/>
          <w:lang w:val="es-DO"/>
        </w:rPr>
      </w:pPr>
      <w:r w:rsidRPr="00232EBB">
        <w:rPr>
          <w:rFonts w:eastAsia="Calibri"/>
          <w:noProof/>
          <w:lang w:val="es-DO"/>
        </w:rPr>
        <w:t>EJE 4: Riesgos y Control de gestión con un avance de 76%</w:t>
      </w:r>
      <w:r w:rsidR="002C338F" w:rsidRPr="00232EBB">
        <w:rPr>
          <w:rFonts w:eastAsia="Calibri"/>
          <w:noProof/>
          <w:lang w:val="es-DO"/>
        </w:rPr>
        <w:t>.</w:t>
      </w:r>
    </w:p>
    <w:p w14:paraId="2081D2EB" w14:textId="68F0E488" w:rsidR="004655D8" w:rsidRPr="00232EBB" w:rsidRDefault="004655D8" w:rsidP="004655D8">
      <w:pPr>
        <w:spacing w:line="360" w:lineRule="auto"/>
        <w:jc w:val="both"/>
        <w:rPr>
          <w:rFonts w:eastAsia="Calibri"/>
          <w:noProof/>
          <w:lang w:val="es-DO"/>
        </w:rPr>
      </w:pPr>
      <w:r w:rsidRPr="00232EBB">
        <w:rPr>
          <w:rFonts w:eastAsia="Calibri"/>
          <w:noProof/>
          <w:lang w:val="es-DO"/>
        </w:rPr>
        <w:t>EJE 5: Crecimiento y Desarrollo del Talento Humano con un avance de 74%</w:t>
      </w:r>
      <w:r w:rsidR="002C338F" w:rsidRPr="00232EBB">
        <w:rPr>
          <w:rFonts w:eastAsia="Calibri"/>
          <w:noProof/>
          <w:lang w:val="es-DO"/>
        </w:rPr>
        <w:t>.</w:t>
      </w:r>
    </w:p>
    <w:p w14:paraId="3B66E595" w14:textId="77777777" w:rsidR="003303DE" w:rsidRPr="00232EBB" w:rsidRDefault="00796934" w:rsidP="009F54E3">
      <w:pPr>
        <w:spacing w:line="360" w:lineRule="auto"/>
        <w:jc w:val="both"/>
        <w:rPr>
          <w:rFonts w:eastAsia="Calibri"/>
          <w:noProof/>
          <w:lang w:val="es-DO"/>
        </w:rPr>
      </w:pPr>
      <w:r w:rsidRPr="00232EBB">
        <w:rPr>
          <w:rFonts w:eastAsia="Calibri"/>
          <w:noProof/>
          <w:lang w:val="es-DO"/>
        </w:rPr>
        <w:t>Los retos son continuar brindando eficaces servicios, velar por el cumplimiento de la misión y la calidad de los procesos conferidos por la Ley no. 87-01 con sus modificaciones.</w:t>
      </w:r>
    </w:p>
    <w:p w14:paraId="3C560F7F" w14:textId="656859A2" w:rsidR="0021654B" w:rsidRPr="00232EBB" w:rsidRDefault="00B0637A" w:rsidP="009F54E3">
      <w:pPr>
        <w:spacing w:line="360" w:lineRule="auto"/>
        <w:jc w:val="both"/>
        <w:rPr>
          <w:rFonts w:eastAsia="Calibri"/>
          <w:b/>
          <w:bCs/>
          <w:noProof/>
          <w:lang w:val="es-DO"/>
        </w:rPr>
      </w:pPr>
      <w:r w:rsidRPr="00232EBB">
        <w:rPr>
          <w:rFonts w:eastAsia="Calibri"/>
          <w:b/>
          <w:bCs/>
          <w:noProof/>
          <w:lang w:val="es-DO"/>
        </w:rPr>
        <w:t xml:space="preserve">Resultados </w:t>
      </w:r>
      <w:r w:rsidR="00C37A3B" w:rsidRPr="00232EBB">
        <w:rPr>
          <w:rFonts w:eastAsia="Calibri"/>
          <w:b/>
          <w:bCs/>
          <w:noProof/>
          <w:lang w:val="es-DO"/>
        </w:rPr>
        <w:t>del sistema de Gestión Integrado</w:t>
      </w:r>
    </w:p>
    <w:p w14:paraId="255EB734" w14:textId="77777777" w:rsidR="00FB0126" w:rsidRPr="00232EBB" w:rsidRDefault="00FB0126" w:rsidP="00FB0126">
      <w:pPr>
        <w:spacing w:line="360" w:lineRule="auto"/>
        <w:jc w:val="both"/>
        <w:rPr>
          <w:rFonts w:eastAsia="Calibri"/>
          <w:noProof/>
          <w:lang w:val="es-DO"/>
        </w:rPr>
      </w:pPr>
      <w:r w:rsidRPr="00232EBB">
        <w:rPr>
          <w:rFonts w:eastAsia="Calibri"/>
          <w:noProof/>
          <w:lang w:val="es-DO"/>
        </w:rPr>
        <w:lastRenderedPageBreak/>
        <w:t xml:space="preserve">La Tesorería de la Seguridad Social, como parte fundamental de su cultura organizacional, y reconociendo la importancia de las percepciones de sus partes interesadas, se compromete a escuchar activamente sus opiniones y evaluar la satisfacción de los servicios brindados. Para ello, se apoya en encuestas y en el seguimiento de los comentarios de los usuarios a través de los distintos canales de comunicación disponibles. </w:t>
      </w:r>
    </w:p>
    <w:p w14:paraId="3DA70F40" w14:textId="77777777" w:rsidR="00FB0126" w:rsidRPr="00232EBB" w:rsidRDefault="00FB0126" w:rsidP="00FB0126">
      <w:pPr>
        <w:spacing w:line="360" w:lineRule="auto"/>
        <w:jc w:val="both"/>
        <w:rPr>
          <w:rFonts w:eastAsia="Calibri"/>
          <w:noProof/>
          <w:lang w:val="es-DO"/>
        </w:rPr>
      </w:pPr>
      <w:r w:rsidRPr="00232EBB">
        <w:rPr>
          <w:rFonts w:eastAsia="Calibri"/>
          <w:noProof/>
          <w:lang w:val="es-DO"/>
        </w:rPr>
        <w:t xml:space="preserve">Durante el año se implementaron diversas iniciativas orientadas a mejorar la experiencia del usuario, como la optimización de procesos internos, lo que contribuyó al alto nivel de satisfacción registrado. Estos esfuerzos reflejan el compromiso de la institución con la calidad y la mejora continua, fortaleciendo la confianza de los ciudadanos en los servicios brindados. </w:t>
      </w:r>
    </w:p>
    <w:p w14:paraId="4D00CE0F" w14:textId="77777777" w:rsidR="00FB0126" w:rsidRPr="00232EBB" w:rsidRDefault="00FB0126" w:rsidP="00FB0126">
      <w:pPr>
        <w:spacing w:line="360" w:lineRule="auto"/>
        <w:jc w:val="both"/>
        <w:rPr>
          <w:rFonts w:eastAsia="Calibri"/>
          <w:noProof/>
          <w:lang w:val="es-DO"/>
        </w:rPr>
      </w:pPr>
      <w:r w:rsidRPr="00232EBB">
        <w:rPr>
          <w:rFonts w:eastAsia="Calibri"/>
          <w:noProof/>
          <w:lang w:val="es-DO"/>
        </w:rPr>
        <w:t>La meta establecida para este año es obtener, al menos, un 93% en la Encuesta de Satisfacción de los Servicios Brindados. En el periodo enero - diciembre del año se obtuvo un 93.5%.</w:t>
      </w:r>
    </w:p>
    <w:p w14:paraId="32EDFE0D" w14:textId="77777777" w:rsidR="00FB0126" w:rsidRPr="00232EBB" w:rsidRDefault="00FB0126" w:rsidP="00FB0126">
      <w:pPr>
        <w:spacing w:line="360" w:lineRule="auto"/>
        <w:jc w:val="both"/>
        <w:rPr>
          <w:rFonts w:eastAsia="Calibri"/>
          <w:noProof/>
          <w:lang w:val="es-DO"/>
        </w:rPr>
      </w:pPr>
      <w:r w:rsidRPr="00232EBB">
        <w:rPr>
          <w:rFonts w:eastAsia="Calibri"/>
          <w:noProof/>
          <w:lang w:val="es-DO"/>
        </w:rPr>
        <w:t xml:space="preserve">Además, se recibió retroalimentación positiva para un total de </w:t>
      </w:r>
      <w:r w:rsidRPr="00232EBB">
        <w:rPr>
          <w:rFonts w:eastAsia="Calibri"/>
          <w:b/>
          <w:bCs/>
          <w:noProof/>
          <w:lang w:val="es-DO"/>
        </w:rPr>
        <w:t>15</w:t>
      </w:r>
      <w:r w:rsidRPr="00232EBB">
        <w:rPr>
          <w:rFonts w:eastAsia="Calibri"/>
          <w:noProof/>
          <w:lang w:val="es-DO"/>
        </w:rPr>
        <w:t>, de los empleadores hacia la TSS y se registraron</w:t>
      </w:r>
      <w:r w:rsidRPr="00232EBB">
        <w:rPr>
          <w:rFonts w:eastAsia="Calibri"/>
          <w:b/>
          <w:bCs/>
          <w:noProof/>
          <w:lang w:val="es-DO"/>
        </w:rPr>
        <w:t xml:space="preserve"> 226</w:t>
      </w:r>
      <w:r w:rsidRPr="00232EBB">
        <w:rPr>
          <w:rFonts w:eastAsia="Calibri"/>
          <w:noProof/>
          <w:lang w:val="es-DO"/>
        </w:rPr>
        <w:t xml:space="preserve"> felicitaciones para los colaboradores por el excelente servicio brindado.</w:t>
      </w:r>
    </w:p>
    <w:p w14:paraId="7379770F" w14:textId="10A7D8B7" w:rsidR="00987B2F" w:rsidRPr="00232EBB" w:rsidRDefault="00B0637A" w:rsidP="00B0637A">
      <w:pPr>
        <w:spacing w:after="0" w:line="360" w:lineRule="auto"/>
        <w:jc w:val="both"/>
        <w:rPr>
          <w:noProof/>
          <w:lang w:val="es-ES"/>
        </w:rPr>
      </w:pPr>
      <w:r w:rsidRPr="00232EBB">
        <w:rPr>
          <w:noProof/>
          <w:lang w:val="es-ES"/>
        </w:rPr>
        <w:t xml:space="preserve"> </w:t>
      </w:r>
      <w:r w:rsidR="00FB0126" w:rsidRPr="00232EBB">
        <w:rPr>
          <w:noProof/>
          <w:szCs w:val="36"/>
          <w:lang w:val="es-ES"/>
        </w:rPr>
        <w:drawing>
          <wp:inline distT="0" distB="0" distL="0" distR="0" wp14:anchorId="123191D1" wp14:editId="74E51CDE">
            <wp:extent cx="4817110" cy="2587924"/>
            <wp:effectExtent l="0" t="0" r="2540" b="3175"/>
            <wp:docPr id="380262519"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3953290E" w14:textId="58DC58B5" w:rsidR="00987B2F" w:rsidRPr="00232EBB" w:rsidRDefault="00FB0126" w:rsidP="00987B2F">
      <w:pPr>
        <w:spacing w:after="0" w:line="360" w:lineRule="auto"/>
        <w:rPr>
          <w:sz w:val="18"/>
          <w:szCs w:val="18"/>
          <w:lang w:val="es-DO"/>
        </w:rPr>
      </w:pPr>
      <w:r w:rsidRPr="00232EBB">
        <w:rPr>
          <w:b/>
          <w:bCs/>
          <w:sz w:val="18"/>
          <w:szCs w:val="18"/>
          <w:lang w:val="es-DO"/>
        </w:rPr>
        <w:t>Gráfico</w:t>
      </w:r>
      <w:r w:rsidR="00231D31" w:rsidRPr="00232EBB">
        <w:rPr>
          <w:b/>
          <w:bCs/>
          <w:sz w:val="18"/>
          <w:szCs w:val="18"/>
          <w:lang w:val="es-DO"/>
        </w:rPr>
        <w:t xml:space="preserve"> </w:t>
      </w:r>
      <w:r w:rsidR="00E14CB6" w:rsidRPr="00232EBB">
        <w:rPr>
          <w:b/>
          <w:bCs/>
          <w:sz w:val="18"/>
          <w:szCs w:val="18"/>
          <w:lang w:val="es-DO"/>
        </w:rPr>
        <w:t>2</w:t>
      </w:r>
      <w:r w:rsidR="000743EE" w:rsidRPr="00232EBB">
        <w:rPr>
          <w:b/>
          <w:bCs/>
          <w:sz w:val="18"/>
          <w:szCs w:val="18"/>
          <w:lang w:val="es-DO"/>
        </w:rPr>
        <w:t>6</w:t>
      </w:r>
      <w:r w:rsidR="00690EA0" w:rsidRPr="00232EBB">
        <w:rPr>
          <w:b/>
          <w:bCs/>
          <w:sz w:val="18"/>
          <w:szCs w:val="18"/>
          <w:lang w:val="es-DO"/>
        </w:rPr>
        <w:t xml:space="preserve">: </w:t>
      </w:r>
      <w:r w:rsidRPr="00232EBB">
        <w:rPr>
          <w:sz w:val="18"/>
          <w:szCs w:val="18"/>
          <w:lang w:val="es-DO"/>
        </w:rPr>
        <w:t>Índice de satisfacción de los servicios brindados</w:t>
      </w:r>
      <w:r w:rsidR="0010597E" w:rsidRPr="00232EBB">
        <w:rPr>
          <w:sz w:val="18"/>
          <w:szCs w:val="18"/>
          <w:lang w:val="es-DO"/>
        </w:rPr>
        <w:t>.</w:t>
      </w:r>
    </w:p>
    <w:p w14:paraId="79A7EEA2" w14:textId="77777777" w:rsidR="0010597E" w:rsidRPr="00232EBB" w:rsidRDefault="0010597E" w:rsidP="00987B2F">
      <w:pPr>
        <w:spacing w:after="0" w:line="360" w:lineRule="auto"/>
        <w:rPr>
          <w:b/>
          <w:bCs/>
          <w:sz w:val="18"/>
          <w:szCs w:val="18"/>
          <w:lang w:val="es-DO"/>
        </w:rPr>
      </w:pPr>
    </w:p>
    <w:p w14:paraId="42D8B37C" w14:textId="77777777" w:rsidR="00E3132B" w:rsidRPr="00232EBB" w:rsidRDefault="00E3132B" w:rsidP="00E3132B">
      <w:pPr>
        <w:spacing w:line="360" w:lineRule="auto"/>
        <w:jc w:val="both"/>
        <w:rPr>
          <w:rFonts w:eastAsia="Calibri"/>
          <w:noProof/>
          <w:lang w:val="es-DO"/>
        </w:rPr>
      </w:pPr>
      <w:r w:rsidRPr="00232EBB">
        <w:rPr>
          <w:rFonts w:eastAsia="Calibri"/>
          <w:noProof/>
          <w:lang w:val="es-DO"/>
        </w:rPr>
        <w:lastRenderedPageBreak/>
        <w:t>Es importante resaltar que durante este periodo se gestionó la aplicación de 77,324 Encuesta de Satisfacción de los Servicios Brindados distribuidas de la siguente manera: 4,952 Encuesta de Satisfacción Simplificada (telefónica) y 72,372 Encuesta de Servicios (correo electrónico), de las cuales se obtuvieron 4,904</w:t>
      </w:r>
      <w:r w:rsidRPr="00232EBB">
        <w:rPr>
          <w:rFonts w:eastAsia="Calibri"/>
          <w:b/>
          <w:bCs/>
          <w:noProof/>
          <w:lang w:val="es-DO"/>
        </w:rPr>
        <w:t xml:space="preserve"> </w:t>
      </w:r>
      <w:r w:rsidRPr="00232EBB">
        <w:rPr>
          <w:rFonts w:eastAsia="Calibri"/>
          <w:noProof/>
          <w:lang w:val="es-DO"/>
        </w:rPr>
        <w:t xml:space="preserve">respuestas al 31 de diciembre 2025. </w:t>
      </w:r>
    </w:p>
    <w:p w14:paraId="2E069421" w14:textId="77777777" w:rsidR="00E3132B" w:rsidRPr="00232EBB" w:rsidRDefault="00E3132B" w:rsidP="00E3132B">
      <w:pPr>
        <w:spacing w:line="360" w:lineRule="auto"/>
        <w:jc w:val="both"/>
        <w:rPr>
          <w:rFonts w:eastAsia="Calibri"/>
          <w:noProof/>
          <w:lang w:val="es-DO"/>
        </w:rPr>
      </w:pPr>
      <w:r w:rsidRPr="00232EBB">
        <w:rPr>
          <w:rFonts w:eastAsia="Calibri"/>
          <w:noProof/>
          <w:lang w:val="es-DO"/>
        </w:rPr>
        <w:t>Estas respuestas generaron 676 quejas y 325 sugerencias de los empleadores para un total de 1,001 que corresponden de las encuestas aplicadas, a estas se le suman 35 quejas y 3 sugerencias recibidas por otros canales, respondidas en su totalidad por los colaboradores designados de la TSS. Estas quejas y sugerencias representan solo el 21% del total de respuestas. A continuación, presentamos el desglose mensual de las quejas y sugerencias:</w:t>
      </w:r>
    </w:p>
    <w:p w14:paraId="0E6A6DDF" w14:textId="060CA445" w:rsidR="00E3132B" w:rsidRPr="00232EBB" w:rsidRDefault="00E3132B" w:rsidP="00E3132B">
      <w:pPr>
        <w:spacing w:line="360" w:lineRule="auto"/>
        <w:jc w:val="both"/>
        <w:rPr>
          <w:szCs w:val="36"/>
          <w:lang w:val="es-ES"/>
        </w:rPr>
      </w:pPr>
      <w:r w:rsidRPr="00232EBB">
        <w:rPr>
          <w:noProof/>
          <w:lang w:val="es-ES"/>
        </w:rPr>
        <w:drawing>
          <wp:inline distT="0" distB="0" distL="0" distR="0" wp14:anchorId="2405C4FA" wp14:editId="0821B572">
            <wp:extent cx="4864608" cy="2645664"/>
            <wp:effectExtent l="0" t="0" r="12700" b="2540"/>
            <wp:docPr id="1016426774" name="Gráfico 1016426774"/>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13E15B91" w14:textId="04A602B8" w:rsidR="00E3132B" w:rsidRPr="00232EBB" w:rsidRDefault="00E3132B" w:rsidP="00E3132B">
      <w:pPr>
        <w:spacing w:after="0" w:line="360" w:lineRule="auto"/>
        <w:rPr>
          <w:sz w:val="18"/>
          <w:szCs w:val="18"/>
          <w:lang w:val="es-DO"/>
        </w:rPr>
      </w:pPr>
      <w:r w:rsidRPr="00232EBB">
        <w:rPr>
          <w:b/>
          <w:bCs/>
          <w:sz w:val="18"/>
          <w:szCs w:val="18"/>
          <w:lang w:val="es-DO"/>
        </w:rPr>
        <w:t>Gráfico</w:t>
      </w:r>
      <w:r w:rsidR="00410297" w:rsidRPr="00232EBB">
        <w:rPr>
          <w:b/>
          <w:bCs/>
          <w:sz w:val="18"/>
          <w:szCs w:val="18"/>
          <w:lang w:val="es-DO"/>
        </w:rPr>
        <w:t xml:space="preserve"> </w:t>
      </w:r>
      <w:r w:rsidR="00E14CB6" w:rsidRPr="00232EBB">
        <w:rPr>
          <w:b/>
          <w:bCs/>
          <w:sz w:val="18"/>
          <w:szCs w:val="18"/>
          <w:lang w:val="es-DO"/>
        </w:rPr>
        <w:t>2</w:t>
      </w:r>
      <w:r w:rsidR="000743EE" w:rsidRPr="00232EBB">
        <w:rPr>
          <w:b/>
          <w:bCs/>
          <w:sz w:val="18"/>
          <w:szCs w:val="18"/>
          <w:lang w:val="es-DO"/>
        </w:rPr>
        <w:t>7</w:t>
      </w:r>
      <w:r w:rsidRPr="00232EBB">
        <w:rPr>
          <w:b/>
          <w:bCs/>
          <w:sz w:val="18"/>
          <w:szCs w:val="18"/>
          <w:lang w:val="es-DO"/>
        </w:rPr>
        <w:t xml:space="preserve">: </w:t>
      </w:r>
      <w:r w:rsidRPr="00232EBB">
        <w:rPr>
          <w:sz w:val="18"/>
          <w:szCs w:val="18"/>
          <w:lang w:val="es-DO"/>
        </w:rPr>
        <w:t>Quejas y Sugerencias Enero- diciembre 2025</w:t>
      </w:r>
    </w:p>
    <w:p w14:paraId="4782883E" w14:textId="77777777" w:rsidR="00E3132B" w:rsidRPr="00232EBB" w:rsidRDefault="00E3132B" w:rsidP="00E3132B">
      <w:pPr>
        <w:spacing w:after="0" w:line="360" w:lineRule="auto"/>
        <w:rPr>
          <w:b/>
          <w:bCs/>
          <w:sz w:val="18"/>
          <w:szCs w:val="18"/>
          <w:lang w:val="es-DO"/>
        </w:rPr>
      </w:pPr>
    </w:p>
    <w:p w14:paraId="1500BEF1" w14:textId="77777777" w:rsidR="00E3132B" w:rsidRPr="00232EBB" w:rsidRDefault="00E3132B" w:rsidP="00E3132B">
      <w:pPr>
        <w:spacing w:line="360" w:lineRule="auto"/>
        <w:jc w:val="both"/>
        <w:rPr>
          <w:rFonts w:eastAsia="Calibri"/>
          <w:noProof/>
          <w:lang w:val="es-DO"/>
        </w:rPr>
      </w:pPr>
      <w:r w:rsidRPr="00232EBB">
        <w:rPr>
          <w:rFonts w:eastAsia="Calibri"/>
          <w:noProof/>
          <w:lang w:val="es-DO"/>
        </w:rPr>
        <w:t>A continuaciónse puede observar la clasificación de las quejas y sugerencias más recurrentes:</w:t>
      </w:r>
    </w:p>
    <w:tbl>
      <w:tblPr>
        <w:tblW w:w="5000" w:type="pct"/>
        <w:jc w:val="center"/>
        <w:tblLayout w:type="fixed"/>
        <w:tblLook w:val="04A0" w:firstRow="1" w:lastRow="0" w:firstColumn="1" w:lastColumn="0" w:noHBand="0" w:noVBand="1"/>
      </w:tblPr>
      <w:tblGrid>
        <w:gridCol w:w="1704"/>
        <w:gridCol w:w="949"/>
        <w:gridCol w:w="925"/>
        <w:gridCol w:w="1285"/>
        <w:gridCol w:w="1065"/>
        <w:gridCol w:w="771"/>
        <w:gridCol w:w="1031"/>
      </w:tblGrid>
      <w:tr w:rsidR="00E3132B" w:rsidRPr="00232EBB" w14:paraId="4C1820C0" w14:textId="77777777" w:rsidTr="00410297">
        <w:trPr>
          <w:trHeight w:val="508"/>
          <w:tblHeader/>
          <w:jc w:val="center"/>
        </w:trPr>
        <w:tc>
          <w:tcPr>
            <w:tcW w:w="1102" w:type="pct"/>
            <w:tcBorders>
              <w:top w:val="single" w:sz="4" w:space="0" w:color="auto"/>
              <w:left w:val="single" w:sz="4" w:space="0" w:color="auto"/>
              <w:bottom w:val="single" w:sz="4" w:space="0" w:color="auto"/>
              <w:right w:val="single" w:sz="4" w:space="0" w:color="auto"/>
            </w:tcBorders>
            <w:shd w:val="clear" w:color="DDEBF7" w:fill="203764"/>
            <w:noWrap/>
            <w:vAlign w:val="center"/>
            <w:hideMark/>
          </w:tcPr>
          <w:p w14:paraId="58A9DB25" w14:textId="77777777" w:rsidR="00E3132B" w:rsidRPr="00232EBB" w:rsidRDefault="00E3132B" w:rsidP="0055368C">
            <w:pPr>
              <w:spacing w:after="0" w:line="240" w:lineRule="auto"/>
              <w:rPr>
                <w:rFonts w:eastAsia="Calibri"/>
                <w:noProof/>
                <w:color w:val="FFFFFF" w:themeColor="background1"/>
                <w:sz w:val="20"/>
                <w:szCs w:val="20"/>
                <w:lang w:val="es-DO"/>
              </w:rPr>
            </w:pPr>
            <w:r w:rsidRPr="00232EBB">
              <w:rPr>
                <w:rFonts w:eastAsia="Calibri"/>
                <w:noProof/>
                <w:color w:val="FFFFFF" w:themeColor="background1"/>
                <w:sz w:val="20"/>
                <w:szCs w:val="20"/>
                <w:lang w:val="es-DO"/>
              </w:rPr>
              <w:t xml:space="preserve">Clasificación </w:t>
            </w:r>
          </w:p>
        </w:tc>
        <w:tc>
          <w:tcPr>
            <w:tcW w:w="614" w:type="pct"/>
            <w:tcBorders>
              <w:top w:val="single" w:sz="4" w:space="0" w:color="auto"/>
              <w:left w:val="nil"/>
              <w:bottom w:val="single" w:sz="4" w:space="0" w:color="auto"/>
              <w:right w:val="single" w:sz="4" w:space="0" w:color="auto"/>
            </w:tcBorders>
            <w:shd w:val="clear" w:color="DDEBF7" w:fill="203764"/>
            <w:vAlign w:val="center"/>
            <w:hideMark/>
          </w:tcPr>
          <w:p w14:paraId="0749121B" w14:textId="77777777" w:rsidR="00E3132B" w:rsidRPr="00232EBB" w:rsidRDefault="00E3132B" w:rsidP="0055368C">
            <w:pPr>
              <w:spacing w:after="0" w:line="240" w:lineRule="auto"/>
              <w:jc w:val="center"/>
              <w:rPr>
                <w:rFonts w:eastAsia="Calibri"/>
                <w:noProof/>
                <w:color w:val="FFFFFF" w:themeColor="background1"/>
                <w:sz w:val="20"/>
                <w:szCs w:val="20"/>
                <w:lang w:val="es-DO"/>
              </w:rPr>
            </w:pPr>
            <w:r w:rsidRPr="00232EBB">
              <w:rPr>
                <w:rFonts w:eastAsia="Calibri"/>
                <w:noProof/>
                <w:color w:val="FFFFFF" w:themeColor="background1"/>
                <w:sz w:val="20"/>
                <w:szCs w:val="20"/>
                <w:lang w:val="es-DO"/>
              </w:rPr>
              <w:t xml:space="preserve">Frecuencia Quejas </w:t>
            </w:r>
          </w:p>
        </w:tc>
        <w:tc>
          <w:tcPr>
            <w:tcW w:w="598" w:type="pct"/>
            <w:tcBorders>
              <w:top w:val="single" w:sz="4" w:space="0" w:color="auto"/>
              <w:left w:val="nil"/>
              <w:bottom w:val="single" w:sz="4" w:space="0" w:color="auto"/>
              <w:right w:val="single" w:sz="4" w:space="0" w:color="auto"/>
            </w:tcBorders>
            <w:shd w:val="clear" w:color="DDEBF7" w:fill="203764"/>
            <w:noWrap/>
            <w:vAlign w:val="center"/>
            <w:hideMark/>
          </w:tcPr>
          <w:p w14:paraId="19484C5C" w14:textId="77777777" w:rsidR="00E3132B" w:rsidRPr="00232EBB" w:rsidRDefault="00E3132B" w:rsidP="0055368C">
            <w:pPr>
              <w:spacing w:after="0" w:line="240" w:lineRule="auto"/>
              <w:jc w:val="center"/>
              <w:rPr>
                <w:rFonts w:eastAsia="Calibri"/>
                <w:noProof/>
                <w:color w:val="FFFFFF" w:themeColor="background1"/>
                <w:sz w:val="20"/>
                <w:szCs w:val="20"/>
                <w:lang w:val="es-DO"/>
              </w:rPr>
            </w:pPr>
            <w:r w:rsidRPr="00232EBB">
              <w:rPr>
                <w:rFonts w:eastAsia="Calibri"/>
                <w:noProof/>
                <w:color w:val="FFFFFF" w:themeColor="background1"/>
                <w:sz w:val="20"/>
                <w:szCs w:val="20"/>
                <w:lang w:val="es-DO"/>
              </w:rPr>
              <w:t>Quejas (%)</w:t>
            </w:r>
          </w:p>
        </w:tc>
        <w:tc>
          <w:tcPr>
            <w:tcW w:w="831" w:type="pct"/>
            <w:tcBorders>
              <w:top w:val="single" w:sz="4" w:space="0" w:color="auto"/>
              <w:left w:val="nil"/>
              <w:bottom w:val="single" w:sz="4" w:space="0" w:color="auto"/>
              <w:right w:val="single" w:sz="4" w:space="0" w:color="auto"/>
            </w:tcBorders>
            <w:shd w:val="clear" w:color="DDEBF7" w:fill="203764"/>
            <w:vAlign w:val="center"/>
            <w:hideMark/>
          </w:tcPr>
          <w:p w14:paraId="05A621E5" w14:textId="77777777" w:rsidR="00E3132B" w:rsidRPr="00232EBB" w:rsidRDefault="00E3132B" w:rsidP="0055368C">
            <w:pPr>
              <w:spacing w:after="0" w:line="240" w:lineRule="auto"/>
              <w:jc w:val="center"/>
              <w:rPr>
                <w:rFonts w:eastAsia="Calibri"/>
                <w:noProof/>
                <w:color w:val="FFFFFF" w:themeColor="background1"/>
                <w:sz w:val="20"/>
                <w:szCs w:val="20"/>
                <w:lang w:val="es-DO"/>
              </w:rPr>
            </w:pPr>
            <w:r w:rsidRPr="00232EBB">
              <w:rPr>
                <w:rFonts w:eastAsia="Calibri"/>
                <w:noProof/>
                <w:color w:val="FFFFFF" w:themeColor="background1"/>
                <w:sz w:val="20"/>
                <w:szCs w:val="20"/>
                <w:lang w:val="es-DO"/>
              </w:rPr>
              <w:t xml:space="preserve">Fecuencia Sugerencias </w:t>
            </w:r>
          </w:p>
        </w:tc>
        <w:tc>
          <w:tcPr>
            <w:tcW w:w="689" w:type="pct"/>
            <w:tcBorders>
              <w:top w:val="single" w:sz="4" w:space="0" w:color="auto"/>
              <w:left w:val="nil"/>
              <w:bottom w:val="single" w:sz="4" w:space="0" w:color="auto"/>
              <w:right w:val="single" w:sz="4" w:space="0" w:color="auto"/>
            </w:tcBorders>
            <w:shd w:val="clear" w:color="DDEBF7" w:fill="203764"/>
            <w:vAlign w:val="center"/>
            <w:hideMark/>
          </w:tcPr>
          <w:p w14:paraId="516EF1B5" w14:textId="77777777" w:rsidR="00E3132B" w:rsidRPr="00232EBB" w:rsidRDefault="00E3132B" w:rsidP="0055368C">
            <w:pPr>
              <w:spacing w:after="0" w:line="240" w:lineRule="auto"/>
              <w:jc w:val="center"/>
              <w:rPr>
                <w:rFonts w:eastAsia="Calibri"/>
                <w:noProof/>
                <w:color w:val="FFFFFF" w:themeColor="background1"/>
                <w:sz w:val="20"/>
                <w:szCs w:val="20"/>
                <w:lang w:val="es-DO"/>
              </w:rPr>
            </w:pPr>
            <w:r w:rsidRPr="00232EBB">
              <w:rPr>
                <w:rFonts w:eastAsia="Calibri"/>
                <w:noProof/>
                <w:color w:val="FFFFFF" w:themeColor="background1"/>
                <w:sz w:val="20"/>
                <w:szCs w:val="20"/>
                <w:lang w:val="es-DO"/>
              </w:rPr>
              <w:t>Sugerencias (%)</w:t>
            </w:r>
          </w:p>
        </w:tc>
        <w:tc>
          <w:tcPr>
            <w:tcW w:w="499" w:type="pct"/>
            <w:tcBorders>
              <w:top w:val="single" w:sz="4" w:space="0" w:color="auto"/>
              <w:left w:val="nil"/>
              <w:bottom w:val="single" w:sz="4" w:space="0" w:color="auto"/>
              <w:right w:val="single" w:sz="4" w:space="0" w:color="auto"/>
            </w:tcBorders>
            <w:shd w:val="clear" w:color="DDEBF7" w:fill="203764"/>
            <w:noWrap/>
            <w:vAlign w:val="center"/>
            <w:hideMark/>
          </w:tcPr>
          <w:p w14:paraId="283B8A57" w14:textId="77777777" w:rsidR="00E3132B" w:rsidRPr="00232EBB" w:rsidRDefault="00E3132B" w:rsidP="0055368C">
            <w:pPr>
              <w:spacing w:after="0" w:line="240" w:lineRule="auto"/>
              <w:jc w:val="center"/>
              <w:rPr>
                <w:rFonts w:eastAsia="Calibri"/>
                <w:noProof/>
                <w:color w:val="FFFFFF" w:themeColor="background1"/>
                <w:sz w:val="20"/>
                <w:szCs w:val="20"/>
                <w:lang w:val="es-DO"/>
              </w:rPr>
            </w:pPr>
            <w:r w:rsidRPr="00232EBB">
              <w:rPr>
                <w:rFonts w:eastAsia="Calibri"/>
                <w:noProof/>
                <w:color w:val="FFFFFF" w:themeColor="background1"/>
                <w:sz w:val="20"/>
                <w:szCs w:val="20"/>
                <w:lang w:val="es-DO"/>
              </w:rPr>
              <w:t>Total</w:t>
            </w:r>
          </w:p>
        </w:tc>
        <w:tc>
          <w:tcPr>
            <w:tcW w:w="667" w:type="pct"/>
            <w:tcBorders>
              <w:top w:val="single" w:sz="4" w:space="0" w:color="auto"/>
              <w:left w:val="nil"/>
              <w:bottom w:val="single" w:sz="4" w:space="0" w:color="auto"/>
              <w:right w:val="single" w:sz="4" w:space="0" w:color="auto"/>
            </w:tcBorders>
            <w:shd w:val="clear" w:color="DDEBF7" w:fill="203764"/>
            <w:noWrap/>
            <w:vAlign w:val="center"/>
            <w:hideMark/>
          </w:tcPr>
          <w:p w14:paraId="0F37006D" w14:textId="77777777" w:rsidR="00E3132B" w:rsidRPr="00232EBB" w:rsidRDefault="00E3132B" w:rsidP="0055368C">
            <w:pPr>
              <w:spacing w:after="0" w:line="240" w:lineRule="auto"/>
              <w:jc w:val="center"/>
              <w:rPr>
                <w:rFonts w:eastAsia="Calibri"/>
                <w:noProof/>
                <w:color w:val="FFFFFF" w:themeColor="background1"/>
                <w:sz w:val="20"/>
                <w:szCs w:val="20"/>
                <w:lang w:val="es-DO"/>
              </w:rPr>
            </w:pPr>
            <w:r w:rsidRPr="00232EBB">
              <w:rPr>
                <w:rFonts w:eastAsia="Calibri"/>
                <w:noProof/>
                <w:color w:val="FFFFFF" w:themeColor="background1"/>
                <w:sz w:val="20"/>
                <w:szCs w:val="20"/>
                <w:lang w:val="es-DO"/>
              </w:rPr>
              <w:t>Total (%)</w:t>
            </w:r>
          </w:p>
        </w:tc>
      </w:tr>
      <w:tr w:rsidR="00E3132B" w:rsidRPr="00232EBB" w14:paraId="1817297D" w14:textId="77777777" w:rsidTr="00E3132B">
        <w:trPr>
          <w:trHeight w:val="265"/>
          <w:jc w:val="center"/>
        </w:trPr>
        <w:tc>
          <w:tcPr>
            <w:tcW w:w="1102" w:type="pct"/>
            <w:tcBorders>
              <w:top w:val="nil"/>
              <w:left w:val="single" w:sz="4" w:space="0" w:color="auto"/>
              <w:bottom w:val="single" w:sz="4" w:space="0" w:color="auto"/>
              <w:right w:val="single" w:sz="4" w:space="0" w:color="auto"/>
            </w:tcBorders>
            <w:noWrap/>
            <w:vAlign w:val="bottom"/>
            <w:hideMark/>
          </w:tcPr>
          <w:p w14:paraId="54AD46B5" w14:textId="77777777" w:rsidR="00E3132B" w:rsidRPr="00232EBB" w:rsidRDefault="00E3132B" w:rsidP="0055368C">
            <w:pPr>
              <w:spacing w:after="0" w:line="240" w:lineRule="auto"/>
              <w:rPr>
                <w:rFonts w:eastAsia="Calibri"/>
                <w:noProof/>
                <w:sz w:val="18"/>
                <w:szCs w:val="18"/>
                <w:lang w:val="es-DO"/>
              </w:rPr>
            </w:pPr>
            <w:r w:rsidRPr="00232EBB">
              <w:rPr>
                <w:rFonts w:eastAsia="Calibri"/>
                <w:noProof/>
                <w:sz w:val="18"/>
                <w:szCs w:val="18"/>
                <w:lang w:val="es-DO"/>
              </w:rPr>
              <w:t>Tiempo en espera</w:t>
            </w:r>
          </w:p>
        </w:tc>
        <w:tc>
          <w:tcPr>
            <w:tcW w:w="614" w:type="pct"/>
            <w:tcBorders>
              <w:top w:val="nil"/>
              <w:left w:val="nil"/>
              <w:bottom w:val="single" w:sz="4" w:space="0" w:color="auto"/>
              <w:right w:val="single" w:sz="4" w:space="0" w:color="auto"/>
            </w:tcBorders>
            <w:noWrap/>
            <w:vAlign w:val="center"/>
            <w:hideMark/>
          </w:tcPr>
          <w:p w14:paraId="167E693F"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161</w:t>
            </w:r>
          </w:p>
        </w:tc>
        <w:tc>
          <w:tcPr>
            <w:tcW w:w="598" w:type="pct"/>
            <w:tcBorders>
              <w:top w:val="nil"/>
              <w:left w:val="nil"/>
              <w:bottom w:val="single" w:sz="4" w:space="0" w:color="auto"/>
              <w:right w:val="single" w:sz="4" w:space="0" w:color="auto"/>
            </w:tcBorders>
            <w:noWrap/>
            <w:vAlign w:val="center"/>
            <w:hideMark/>
          </w:tcPr>
          <w:p w14:paraId="0A98410D"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23%</w:t>
            </w:r>
          </w:p>
        </w:tc>
        <w:tc>
          <w:tcPr>
            <w:tcW w:w="831" w:type="pct"/>
            <w:tcBorders>
              <w:top w:val="nil"/>
              <w:left w:val="nil"/>
              <w:bottom w:val="single" w:sz="4" w:space="0" w:color="auto"/>
              <w:right w:val="single" w:sz="4" w:space="0" w:color="auto"/>
            </w:tcBorders>
            <w:noWrap/>
            <w:vAlign w:val="center"/>
            <w:hideMark/>
          </w:tcPr>
          <w:p w14:paraId="0E0434D1"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17</w:t>
            </w:r>
          </w:p>
        </w:tc>
        <w:tc>
          <w:tcPr>
            <w:tcW w:w="689" w:type="pct"/>
            <w:tcBorders>
              <w:top w:val="nil"/>
              <w:left w:val="nil"/>
              <w:bottom w:val="single" w:sz="4" w:space="0" w:color="auto"/>
              <w:right w:val="single" w:sz="4" w:space="0" w:color="auto"/>
            </w:tcBorders>
            <w:noWrap/>
            <w:vAlign w:val="center"/>
            <w:hideMark/>
          </w:tcPr>
          <w:p w14:paraId="526AE607"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5%</w:t>
            </w:r>
          </w:p>
        </w:tc>
        <w:tc>
          <w:tcPr>
            <w:tcW w:w="499" w:type="pct"/>
            <w:tcBorders>
              <w:top w:val="nil"/>
              <w:left w:val="nil"/>
              <w:bottom w:val="single" w:sz="4" w:space="0" w:color="auto"/>
              <w:right w:val="single" w:sz="4" w:space="0" w:color="auto"/>
            </w:tcBorders>
            <w:noWrap/>
            <w:vAlign w:val="center"/>
            <w:hideMark/>
          </w:tcPr>
          <w:p w14:paraId="6A078BE8"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179</w:t>
            </w:r>
          </w:p>
        </w:tc>
        <w:tc>
          <w:tcPr>
            <w:tcW w:w="667" w:type="pct"/>
            <w:tcBorders>
              <w:top w:val="nil"/>
              <w:left w:val="nil"/>
              <w:bottom w:val="single" w:sz="4" w:space="0" w:color="auto"/>
              <w:right w:val="single" w:sz="4" w:space="0" w:color="auto"/>
            </w:tcBorders>
            <w:noWrap/>
            <w:vAlign w:val="center"/>
            <w:hideMark/>
          </w:tcPr>
          <w:p w14:paraId="3E8F3CAA"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17%</w:t>
            </w:r>
          </w:p>
        </w:tc>
      </w:tr>
      <w:tr w:rsidR="00E3132B" w:rsidRPr="00232EBB" w14:paraId="2A5638F6" w14:textId="77777777" w:rsidTr="00E3132B">
        <w:trPr>
          <w:trHeight w:val="265"/>
          <w:jc w:val="center"/>
        </w:trPr>
        <w:tc>
          <w:tcPr>
            <w:tcW w:w="1102" w:type="pct"/>
            <w:tcBorders>
              <w:top w:val="nil"/>
              <w:left w:val="single" w:sz="4" w:space="0" w:color="auto"/>
              <w:bottom w:val="single" w:sz="4" w:space="0" w:color="auto"/>
              <w:right w:val="single" w:sz="4" w:space="0" w:color="auto"/>
            </w:tcBorders>
            <w:noWrap/>
            <w:vAlign w:val="bottom"/>
            <w:hideMark/>
          </w:tcPr>
          <w:p w14:paraId="4B9F712F" w14:textId="77777777" w:rsidR="00E3132B" w:rsidRPr="00232EBB" w:rsidRDefault="00E3132B" w:rsidP="0055368C">
            <w:pPr>
              <w:spacing w:after="0" w:line="240" w:lineRule="auto"/>
              <w:rPr>
                <w:rFonts w:eastAsia="Calibri"/>
                <w:noProof/>
                <w:sz w:val="18"/>
                <w:szCs w:val="18"/>
                <w:lang w:val="es-DO"/>
              </w:rPr>
            </w:pPr>
            <w:r w:rsidRPr="00232EBB">
              <w:rPr>
                <w:rFonts w:eastAsia="Calibri"/>
                <w:noProof/>
                <w:sz w:val="18"/>
                <w:szCs w:val="18"/>
                <w:lang w:val="es-DO"/>
              </w:rPr>
              <w:t>Comunicación</w:t>
            </w:r>
          </w:p>
        </w:tc>
        <w:tc>
          <w:tcPr>
            <w:tcW w:w="614" w:type="pct"/>
            <w:tcBorders>
              <w:top w:val="nil"/>
              <w:left w:val="nil"/>
              <w:bottom w:val="single" w:sz="4" w:space="0" w:color="auto"/>
              <w:right w:val="single" w:sz="4" w:space="0" w:color="auto"/>
            </w:tcBorders>
            <w:noWrap/>
            <w:vAlign w:val="center"/>
            <w:hideMark/>
          </w:tcPr>
          <w:p w14:paraId="3EC5EA92"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136</w:t>
            </w:r>
          </w:p>
        </w:tc>
        <w:tc>
          <w:tcPr>
            <w:tcW w:w="598" w:type="pct"/>
            <w:tcBorders>
              <w:top w:val="nil"/>
              <w:left w:val="nil"/>
              <w:bottom w:val="single" w:sz="4" w:space="0" w:color="auto"/>
              <w:right w:val="single" w:sz="4" w:space="0" w:color="auto"/>
            </w:tcBorders>
            <w:noWrap/>
            <w:vAlign w:val="center"/>
            <w:hideMark/>
          </w:tcPr>
          <w:p w14:paraId="49C4BC5A"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19%</w:t>
            </w:r>
          </w:p>
        </w:tc>
        <w:tc>
          <w:tcPr>
            <w:tcW w:w="831" w:type="pct"/>
            <w:tcBorders>
              <w:top w:val="nil"/>
              <w:left w:val="nil"/>
              <w:bottom w:val="single" w:sz="4" w:space="0" w:color="auto"/>
              <w:right w:val="single" w:sz="4" w:space="0" w:color="auto"/>
            </w:tcBorders>
            <w:noWrap/>
            <w:vAlign w:val="center"/>
            <w:hideMark/>
          </w:tcPr>
          <w:p w14:paraId="1B7AB651"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40</w:t>
            </w:r>
          </w:p>
        </w:tc>
        <w:tc>
          <w:tcPr>
            <w:tcW w:w="689" w:type="pct"/>
            <w:tcBorders>
              <w:top w:val="nil"/>
              <w:left w:val="nil"/>
              <w:bottom w:val="single" w:sz="4" w:space="0" w:color="auto"/>
              <w:right w:val="single" w:sz="4" w:space="0" w:color="auto"/>
            </w:tcBorders>
            <w:noWrap/>
            <w:vAlign w:val="center"/>
            <w:hideMark/>
          </w:tcPr>
          <w:p w14:paraId="4DB1114D"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12%</w:t>
            </w:r>
          </w:p>
        </w:tc>
        <w:tc>
          <w:tcPr>
            <w:tcW w:w="499" w:type="pct"/>
            <w:tcBorders>
              <w:top w:val="nil"/>
              <w:left w:val="nil"/>
              <w:bottom w:val="single" w:sz="4" w:space="0" w:color="auto"/>
              <w:right w:val="single" w:sz="4" w:space="0" w:color="auto"/>
            </w:tcBorders>
            <w:noWrap/>
            <w:vAlign w:val="center"/>
            <w:hideMark/>
          </w:tcPr>
          <w:p w14:paraId="1CF18294"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177</w:t>
            </w:r>
          </w:p>
        </w:tc>
        <w:tc>
          <w:tcPr>
            <w:tcW w:w="667" w:type="pct"/>
            <w:tcBorders>
              <w:top w:val="nil"/>
              <w:left w:val="nil"/>
              <w:bottom w:val="single" w:sz="4" w:space="0" w:color="auto"/>
              <w:right w:val="single" w:sz="4" w:space="0" w:color="auto"/>
            </w:tcBorders>
            <w:noWrap/>
            <w:vAlign w:val="center"/>
            <w:hideMark/>
          </w:tcPr>
          <w:p w14:paraId="782B25CE"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17%</w:t>
            </w:r>
          </w:p>
        </w:tc>
      </w:tr>
      <w:tr w:rsidR="00E3132B" w:rsidRPr="00232EBB" w14:paraId="54E727CC" w14:textId="77777777" w:rsidTr="00E3132B">
        <w:trPr>
          <w:trHeight w:val="265"/>
          <w:jc w:val="center"/>
        </w:trPr>
        <w:tc>
          <w:tcPr>
            <w:tcW w:w="1102" w:type="pct"/>
            <w:tcBorders>
              <w:top w:val="nil"/>
              <w:left w:val="single" w:sz="4" w:space="0" w:color="auto"/>
              <w:bottom w:val="single" w:sz="4" w:space="0" w:color="auto"/>
              <w:right w:val="single" w:sz="4" w:space="0" w:color="auto"/>
            </w:tcBorders>
            <w:noWrap/>
            <w:vAlign w:val="bottom"/>
            <w:hideMark/>
          </w:tcPr>
          <w:p w14:paraId="48D40936" w14:textId="77777777" w:rsidR="00E3132B" w:rsidRPr="00232EBB" w:rsidRDefault="00E3132B" w:rsidP="0055368C">
            <w:pPr>
              <w:spacing w:after="0" w:line="240" w:lineRule="auto"/>
              <w:rPr>
                <w:rFonts w:eastAsia="Calibri"/>
                <w:noProof/>
                <w:sz w:val="18"/>
                <w:szCs w:val="18"/>
                <w:lang w:val="es-DO"/>
              </w:rPr>
            </w:pPr>
            <w:r w:rsidRPr="00232EBB">
              <w:rPr>
                <w:rFonts w:eastAsia="Calibri"/>
                <w:noProof/>
                <w:sz w:val="18"/>
                <w:szCs w:val="18"/>
                <w:lang w:val="es-DO"/>
              </w:rPr>
              <w:lastRenderedPageBreak/>
              <w:t>Mejora de procesos</w:t>
            </w:r>
          </w:p>
        </w:tc>
        <w:tc>
          <w:tcPr>
            <w:tcW w:w="614" w:type="pct"/>
            <w:tcBorders>
              <w:top w:val="nil"/>
              <w:left w:val="nil"/>
              <w:bottom w:val="single" w:sz="4" w:space="0" w:color="auto"/>
              <w:right w:val="single" w:sz="4" w:space="0" w:color="auto"/>
            </w:tcBorders>
            <w:noWrap/>
            <w:vAlign w:val="center"/>
            <w:hideMark/>
          </w:tcPr>
          <w:p w14:paraId="09724047"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116</w:t>
            </w:r>
          </w:p>
        </w:tc>
        <w:tc>
          <w:tcPr>
            <w:tcW w:w="598" w:type="pct"/>
            <w:tcBorders>
              <w:top w:val="nil"/>
              <w:left w:val="nil"/>
              <w:bottom w:val="single" w:sz="4" w:space="0" w:color="auto"/>
              <w:right w:val="single" w:sz="4" w:space="0" w:color="auto"/>
            </w:tcBorders>
            <w:noWrap/>
            <w:vAlign w:val="center"/>
            <w:hideMark/>
          </w:tcPr>
          <w:p w14:paraId="7F18873B"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16%</w:t>
            </w:r>
          </w:p>
        </w:tc>
        <w:tc>
          <w:tcPr>
            <w:tcW w:w="831" w:type="pct"/>
            <w:tcBorders>
              <w:top w:val="nil"/>
              <w:left w:val="nil"/>
              <w:bottom w:val="single" w:sz="4" w:space="0" w:color="auto"/>
              <w:right w:val="single" w:sz="4" w:space="0" w:color="auto"/>
            </w:tcBorders>
            <w:noWrap/>
            <w:vAlign w:val="center"/>
            <w:hideMark/>
          </w:tcPr>
          <w:p w14:paraId="6B08DF69"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143</w:t>
            </w:r>
          </w:p>
        </w:tc>
        <w:tc>
          <w:tcPr>
            <w:tcW w:w="689" w:type="pct"/>
            <w:tcBorders>
              <w:top w:val="nil"/>
              <w:left w:val="nil"/>
              <w:bottom w:val="single" w:sz="4" w:space="0" w:color="auto"/>
              <w:right w:val="single" w:sz="4" w:space="0" w:color="auto"/>
            </w:tcBorders>
            <w:noWrap/>
            <w:vAlign w:val="center"/>
            <w:hideMark/>
          </w:tcPr>
          <w:p w14:paraId="4E6FBE72"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44%</w:t>
            </w:r>
          </w:p>
        </w:tc>
        <w:tc>
          <w:tcPr>
            <w:tcW w:w="499" w:type="pct"/>
            <w:tcBorders>
              <w:top w:val="nil"/>
              <w:left w:val="nil"/>
              <w:bottom w:val="single" w:sz="4" w:space="0" w:color="auto"/>
              <w:right w:val="single" w:sz="4" w:space="0" w:color="auto"/>
            </w:tcBorders>
            <w:noWrap/>
            <w:vAlign w:val="center"/>
            <w:hideMark/>
          </w:tcPr>
          <w:p w14:paraId="2FEA0CA2"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259</w:t>
            </w:r>
          </w:p>
        </w:tc>
        <w:tc>
          <w:tcPr>
            <w:tcW w:w="667" w:type="pct"/>
            <w:tcBorders>
              <w:top w:val="nil"/>
              <w:left w:val="nil"/>
              <w:bottom w:val="single" w:sz="4" w:space="0" w:color="auto"/>
              <w:right w:val="single" w:sz="4" w:space="0" w:color="auto"/>
            </w:tcBorders>
            <w:noWrap/>
            <w:vAlign w:val="center"/>
            <w:hideMark/>
          </w:tcPr>
          <w:p w14:paraId="40F367F0"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25%</w:t>
            </w:r>
          </w:p>
        </w:tc>
      </w:tr>
      <w:tr w:rsidR="00E3132B" w:rsidRPr="00232EBB" w14:paraId="76DE5F9D" w14:textId="77777777" w:rsidTr="00E3132B">
        <w:trPr>
          <w:trHeight w:val="265"/>
          <w:jc w:val="center"/>
        </w:trPr>
        <w:tc>
          <w:tcPr>
            <w:tcW w:w="1102" w:type="pct"/>
            <w:tcBorders>
              <w:top w:val="nil"/>
              <w:left w:val="single" w:sz="4" w:space="0" w:color="auto"/>
              <w:bottom w:val="single" w:sz="4" w:space="0" w:color="auto"/>
              <w:right w:val="single" w:sz="4" w:space="0" w:color="auto"/>
            </w:tcBorders>
            <w:noWrap/>
            <w:vAlign w:val="bottom"/>
            <w:hideMark/>
          </w:tcPr>
          <w:p w14:paraId="42EE8D22" w14:textId="77777777" w:rsidR="00E3132B" w:rsidRPr="00232EBB" w:rsidRDefault="00E3132B" w:rsidP="0055368C">
            <w:pPr>
              <w:spacing w:after="0" w:line="240" w:lineRule="auto"/>
              <w:rPr>
                <w:rFonts w:eastAsia="Calibri"/>
                <w:noProof/>
                <w:sz w:val="18"/>
                <w:szCs w:val="18"/>
                <w:lang w:val="es-DO"/>
              </w:rPr>
            </w:pPr>
            <w:r w:rsidRPr="00232EBB">
              <w:rPr>
                <w:rFonts w:eastAsia="Calibri"/>
                <w:noProof/>
                <w:sz w:val="18"/>
                <w:szCs w:val="18"/>
                <w:lang w:val="es-DO"/>
              </w:rPr>
              <w:t>Tiempo de respuesta</w:t>
            </w:r>
          </w:p>
        </w:tc>
        <w:tc>
          <w:tcPr>
            <w:tcW w:w="614" w:type="pct"/>
            <w:tcBorders>
              <w:top w:val="nil"/>
              <w:left w:val="nil"/>
              <w:bottom w:val="single" w:sz="4" w:space="0" w:color="auto"/>
              <w:right w:val="single" w:sz="4" w:space="0" w:color="auto"/>
            </w:tcBorders>
            <w:noWrap/>
            <w:vAlign w:val="center"/>
            <w:hideMark/>
          </w:tcPr>
          <w:p w14:paraId="54A92AE4"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65</w:t>
            </w:r>
          </w:p>
        </w:tc>
        <w:tc>
          <w:tcPr>
            <w:tcW w:w="598" w:type="pct"/>
            <w:tcBorders>
              <w:top w:val="nil"/>
              <w:left w:val="nil"/>
              <w:bottom w:val="single" w:sz="4" w:space="0" w:color="auto"/>
              <w:right w:val="single" w:sz="4" w:space="0" w:color="auto"/>
            </w:tcBorders>
            <w:noWrap/>
            <w:vAlign w:val="center"/>
            <w:hideMark/>
          </w:tcPr>
          <w:p w14:paraId="78DF48FD"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9%</w:t>
            </w:r>
          </w:p>
        </w:tc>
        <w:tc>
          <w:tcPr>
            <w:tcW w:w="831" w:type="pct"/>
            <w:tcBorders>
              <w:top w:val="nil"/>
              <w:left w:val="nil"/>
              <w:bottom w:val="single" w:sz="4" w:space="0" w:color="auto"/>
              <w:right w:val="single" w:sz="4" w:space="0" w:color="auto"/>
            </w:tcBorders>
            <w:noWrap/>
            <w:vAlign w:val="center"/>
            <w:hideMark/>
          </w:tcPr>
          <w:p w14:paraId="28FFFBC9"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20</w:t>
            </w:r>
          </w:p>
        </w:tc>
        <w:tc>
          <w:tcPr>
            <w:tcW w:w="689" w:type="pct"/>
            <w:tcBorders>
              <w:top w:val="nil"/>
              <w:left w:val="nil"/>
              <w:bottom w:val="single" w:sz="4" w:space="0" w:color="auto"/>
              <w:right w:val="single" w:sz="4" w:space="0" w:color="auto"/>
            </w:tcBorders>
            <w:noWrap/>
            <w:vAlign w:val="center"/>
            <w:hideMark/>
          </w:tcPr>
          <w:p w14:paraId="7F6B1AD1"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6%</w:t>
            </w:r>
          </w:p>
        </w:tc>
        <w:tc>
          <w:tcPr>
            <w:tcW w:w="499" w:type="pct"/>
            <w:tcBorders>
              <w:top w:val="nil"/>
              <w:left w:val="nil"/>
              <w:bottom w:val="single" w:sz="4" w:space="0" w:color="auto"/>
              <w:right w:val="single" w:sz="4" w:space="0" w:color="auto"/>
            </w:tcBorders>
            <w:noWrap/>
            <w:vAlign w:val="center"/>
            <w:hideMark/>
          </w:tcPr>
          <w:p w14:paraId="4AF0CB19"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85</w:t>
            </w:r>
          </w:p>
        </w:tc>
        <w:tc>
          <w:tcPr>
            <w:tcW w:w="667" w:type="pct"/>
            <w:tcBorders>
              <w:top w:val="nil"/>
              <w:left w:val="nil"/>
              <w:bottom w:val="single" w:sz="4" w:space="0" w:color="auto"/>
              <w:right w:val="single" w:sz="4" w:space="0" w:color="auto"/>
            </w:tcBorders>
            <w:noWrap/>
            <w:vAlign w:val="center"/>
            <w:hideMark/>
          </w:tcPr>
          <w:p w14:paraId="12AC4BA3"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8%</w:t>
            </w:r>
          </w:p>
        </w:tc>
      </w:tr>
      <w:tr w:rsidR="00E3132B" w:rsidRPr="00232EBB" w14:paraId="4372D8C0" w14:textId="77777777" w:rsidTr="00E3132B">
        <w:trPr>
          <w:trHeight w:val="265"/>
          <w:jc w:val="center"/>
        </w:trPr>
        <w:tc>
          <w:tcPr>
            <w:tcW w:w="1102" w:type="pct"/>
            <w:tcBorders>
              <w:top w:val="nil"/>
              <w:left w:val="single" w:sz="4" w:space="0" w:color="auto"/>
              <w:bottom w:val="single" w:sz="4" w:space="0" w:color="auto"/>
              <w:right w:val="single" w:sz="4" w:space="0" w:color="auto"/>
            </w:tcBorders>
            <w:noWrap/>
            <w:vAlign w:val="bottom"/>
            <w:hideMark/>
          </w:tcPr>
          <w:p w14:paraId="4C06FB1A" w14:textId="77777777" w:rsidR="00E3132B" w:rsidRPr="00232EBB" w:rsidRDefault="00E3132B" w:rsidP="0055368C">
            <w:pPr>
              <w:spacing w:after="0" w:line="240" w:lineRule="auto"/>
              <w:rPr>
                <w:rFonts w:eastAsia="Calibri"/>
                <w:noProof/>
                <w:sz w:val="18"/>
                <w:szCs w:val="18"/>
                <w:lang w:val="es-DO"/>
              </w:rPr>
            </w:pPr>
            <w:r w:rsidRPr="00232EBB">
              <w:rPr>
                <w:rFonts w:eastAsia="Calibri"/>
                <w:noProof/>
                <w:sz w:val="18"/>
                <w:szCs w:val="18"/>
                <w:lang w:val="es-DO"/>
              </w:rPr>
              <w:t>Servicio Ofrecido</w:t>
            </w:r>
          </w:p>
        </w:tc>
        <w:tc>
          <w:tcPr>
            <w:tcW w:w="614" w:type="pct"/>
            <w:tcBorders>
              <w:top w:val="nil"/>
              <w:left w:val="nil"/>
              <w:bottom w:val="single" w:sz="4" w:space="0" w:color="auto"/>
              <w:right w:val="single" w:sz="4" w:space="0" w:color="auto"/>
            </w:tcBorders>
            <w:noWrap/>
            <w:vAlign w:val="center"/>
            <w:hideMark/>
          </w:tcPr>
          <w:p w14:paraId="42DBF208"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46</w:t>
            </w:r>
          </w:p>
        </w:tc>
        <w:tc>
          <w:tcPr>
            <w:tcW w:w="598" w:type="pct"/>
            <w:tcBorders>
              <w:top w:val="nil"/>
              <w:left w:val="nil"/>
              <w:bottom w:val="single" w:sz="4" w:space="0" w:color="auto"/>
              <w:right w:val="single" w:sz="4" w:space="0" w:color="auto"/>
            </w:tcBorders>
            <w:noWrap/>
            <w:vAlign w:val="center"/>
            <w:hideMark/>
          </w:tcPr>
          <w:p w14:paraId="0AE0F1BB"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6%</w:t>
            </w:r>
          </w:p>
        </w:tc>
        <w:tc>
          <w:tcPr>
            <w:tcW w:w="831" w:type="pct"/>
            <w:tcBorders>
              <w:top w:val="nil"/>
              <w:left w:val="nil"/>
              <w:bottom w:val="single" w:sz="4" w:space="0" w:color="auto"/>
              <w:right w:val="single" w:sz="4" w:space="0" w:color="auto"/>
            </w:tcBorders>
            <w:noWrap/>
            <w:vAlign w:val="center"/>
            <w:hideMark/>
          </w:tcPr>
          <w:p w14:paraId="72A637B8"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4</w:t>
            </w:r>
          </w:p>
        </w:tc>
        <w:tc>
          <w:tcPr>
            <w:tcW w:w="689" w:type="pct"/>
            <w:tcBorders>
              <w:top w:val="nil"/>
              <w:left w:val="nil"/>
              <w:bottom w:val="single" w:sz="4" w:space="0" w:color="auto"/>
              <w:right w:val="single" w:sz="4" w:space="0" w:color="auto"/>
            </w:tcBorders>
            <w:noWrap/>
            <w:vAlign w:val="center"/>
            <w:hideMark/>
          </w:tcPr>
          <w:p w14:paraId="6DB49529"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1%</w:t>
            </w:r>
          </w:p>
        </w:tc>
        <w:tc>
          <w:tcPr>
            <w:tcW w:w="499" w:type="pct"/>
            <w:tcBorders>
              <w:top w:val="nil"/>
              <w:left w:val="nil"/>
              <w:bottom w:val="single" w:sz="4" w:space="0" w:color="auto"/>
              <w:right w:val="single" w:sz="4" w:space="0" w:color="auto"/>
            </w:tcBorders>
            <w:noWrap/>
            <w:vAlign w:val="center"/>
            <w:hideMark/>
          </w:tcPr>
          <w:p w14:paraId="43CB47E5"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50</w:t>
            </w:r>
          </w:p>
        </w:tc>
        <w:tc>
          <w:tcPr>
            <w:tcW w:w="667" w:type="pct"/>
            <w:tcBorders>
              <w:top w:val="nil"/>
              <w:left w:val="nil"/>
              <w:bottom w:val="single" w:sz="4" w:space="0" w:color="auto"/>
              <w:right w:val="single" w:sz="4" w:space="0" w:color="auto"/>
            </w:tcBorders>
            <w:noWrap/>
            <w:vAlign w:val="center"/>
            <w:hideMark/>
          </w:tcPr>
          <w:p w14:paraId="6891FBB9"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5%</w:t>
            </w:r>
          </w:p>
        </w:tc>
      </w:tr>
      <w:tr w:rsidR="00E3132B" w:rsidRPr="00232EBB" w14:paraId="6D10EAB6" w14:textId="77777777" w:rsidTr="00E3132B">
        <w:trPr>
          <w:trHeight w:val="265"/>
          <w:jc w:val="center"/>
        </w:trPr>
        <w:tc>
          <w:tcPr>
            <w:tcW w:w="1102" w:type="pct"/>
            <w:tcBorders>
              <w:top w:val="nil"/>
              <w:left w:val="single" w:sz="4" w:space="0" w:color="auto"/>
              <w:bottom w:val="single" w:sz="4" w:space="0" w:color="auto"/>
              <w:right w:val="single" w:sz="4" w:space="0" w:color="auto"/>
            </w:tcBorders>
            <w:noWrap/>
            <w:vAlign w:val="bottom"/>
            <w:hideMark/>
          </w:tcPr>
          <w:p w14:paraId="27F210D9" w14:textId="77777777" w:rsidR="00E3132B" w:rsidRPr="00232EBB" w:rsidRDefault="00E3132B" w:rsidP="0055368C">
            <w:pPr>
              <w:spacing w:after="0" w:line="240" w:lineRule="auto"/>
              <w:rPr>
                <w:rFonts w:eastAsia="Calibri"/>
                <w:noProof/>
                <w:sz w:val="18"/>
                <w:szCs w:val="18"/>
                <w:lang w:val="es-DO"/>
              </w:rPr>
            </w:pPr>
            <w:r w:rsidRPr="00232EBB">
              <w:rPr>
                <w:rFonts w:eastAsia="Calibri"/>
                <w:noProof/>
                <w:sz w:val="18"/>
                <w:szCs w:val="18"/>
                <w:lang w:val="es-DO"/>
              </w:rPr>
              <w:t xml:space="preserve">Procesos </w:t>
            </w:r>
          </w:p>
        </w:tc>
        <w:tc>
          <w:tcPr>
            <w:tcW w:w="614" w:type="pct"/>
            <w:tcBorders>
              <w:top w:val="nil"/>
              <w:left w:val="nil"/>
              <w:bottom w:val="single" w:sz="4" w:space="0" w:color="auto"/>
              <w:right w:val="single" w:sz="4" w:space="0" w:color="auto"/>
            </w:tcBorders>
            <w:noWrap/>
            <w:vAlign w:val="center"/>
            <w:hideMark/>
          </w:tcPr>
          <w:p w14:paraId="0C7D192C"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45</w:t>
            </w:r>
          </w:p>
        </w:tc>
        <w:tc>
          <w:tcPr>
            <w:tcW w:w="598" w:type="pct"/>
            <w:tcBorders>
              <w:top w:val="nil"/>
              <w:left w:val="nil"/>
              <w:bottom w:val="single" w:sz="4" w:space="0" w:color="auto"/>
              <w:right w:val="single" w:sz="4" w:space="0" w:color="auto"/>
            </w:tcBorders>
            <w:noWrap/>
            <w:vAlign w:val="center"/>
            <w:hideMark/>
          </w:tcPr>
          <w:p w14:paraId="363B5346"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6%</w:t>
            </w:r>
          </w:p>
        </w:tc>
        <w:tc>
          <w:tcPr>
            <w:tcW w:w="831" w:type="pct"/>
            <w:tcBorders>
              <w:top w:val="nil"/>
              <w:left w:val="nil"/>
              <w:bottom w:val="single" w:sz="4" w:space="0" w:color="auto"/>
              <w:right w:val="single" w:sz="4" w:space="0" w:color="auto"/>
            </w:tcBorders>
            <w:noWrap/>
            <w:vAlign w:val="center"/>
            <w:hideMark/>
          </w:tcPr>
          <w:p w14:paraId="1CF6774E"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14</w:t>
            </w:r>
          </w:p>
        </w:tc>
        <w:tc>
          <w:tcPr>
            <w:tcW w:w="689" w:type="pct"/>
            <w:tcBorders>
              <w:top w:val="nil"/>
              <w:left w:val="nil"/>
              <w:bottom w:val="single" w:sz="4" w:space="0" w:color="auto"/>
              <w:right w:val="single" w:sz="4" w:space="0" w:color="auto"/>
            </w:tcBorders>
            <w:noWrap/>
            <w:vAlign w:val="center"/>
            <w:hideMark/>
          </w:tcPr>
          <w:p w14:paraId="364B9AC4"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4%</w:t>
            </w:r>
          </w:p>
        </w:tc>
        <w:tc>
          <w:tcPr>
            <w:tcW w:w="499" w:type="pct"/>
            <w:tcBorders>
              <w:top w:val="nil"/>
              <w:left w:val="nil"/>
              <w:bottom w:val="single" w:sz="4" w:space="0" w:color="auto"/>
              <w:right w:val="single" w:sz="4" w:space="0" w:color="auto"/>
            </w:tcBorders>
            <w:noWrap/>
            <w:vAlign w:val="center"/>
            <w:hideMark/>
          </w:tcPr>
          <w:p w14:paraId="0D7D2A39"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59</w:t>
            </w:r>
          </w:p>
        </w:tc>
        <w:tc>
          <w:tcPr>
            <w:tcW w:w="667" w:type="pct"/>
            <w:tcBorders>
              <w:top w:val="nil"/>
              <w:left w:val="nil"/>
              <w:bottom w:val="single" w:sz="4" w:space="0" w:color="auto"/>
              <w:right w:val="single" w:sz="4" w:space="0" w:color="auto"/>
            </w:tcBorders>
            <w:noWrap/>
            <w:vAlign w:val="center"/>
            <w:hideMark/>
          </w:tcPr>
          <w:p w14:paraId="15C97818"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6%</w:t>
            </w:r>
          </w:p>
        </w:tc>
      </w:tr>
      <w:tr w:rsidR="00E3132B" w:rsidRPr="00232EBB" w14:paraId="48CA2437" w14:textId="77777777" w:rsidTr="00E3132B">
        <w:trPr>
          <w:trHeight w:val="265"/>
          <w:jc w:val="center"/>
        </w:trPr>
        <w:tc>
          <w:tcPr>
            <w:tcW w:w="1102" w:type="pct"/>
            <w:tcBorders>
              <w:top w:val="nil"/>
              <w:left w:val="single" w:sz="4" w:space="0" w:color="auto"/>
              <w:bottom w:val="single" w:sz="4" w:space="0" w:color="auto"/>
              <w:right w:val="single" w:sz="4" w:space="0" w:color="auto"/>
            </w:tcBorders>
            <w:noWrap/>
            <w:vAlign w:val="bottom"/>
            <w:hideMark/>
          </w:tcPr>
          <w:p w14:paraId="3D093896" w14:textId="77777777" w:rsidR="00E3132B" w:rsidRPr="00232EBB" w:rsidRDefault="00E3132B" w:rsidP="0055368C">
            <w:pPr>
              <w:spacing w:after="0" w:line="240" w:lineRule="auto"/>
              <w:rPr>
                <w:rFonts w:eastAsia="Calibri"/>
                <w:noProof/>
                <w:sz w:val="18"/>
                <w:szCs w:val="18"/>
                <w:lang w:val="es-DO"/>
              </w:rPr>
            </w:pPr>
            <w:r w:rsidRPr="00232EBB">
              <w:rPr>
                <w:rFonts w:eastAsia="Calibri"/>
                <w:noProof/>
                <w:sz w:val="18"/>
                <w:szCs w:val="18"/>
                <w:lang w:val="es-DO"/>
              </w:rPr>
              <w:t>No respuesta a solicitud</w:t>
            </w:r>
          </w:p>
        </w:tc>
        <w:tc>
          <w:tcPr>
            <w:tcW w:w="614" w:type="pct"/>
            <w:tcBorders>
              <w:top w:val="nil"/>
              <w:left w:val="nil"/>
              <w:bottom w:val="single" w:sz="4" w:space="0" w:color="auto"/>
              <w:right w:val="single" w:sz="4" w:space="0" w:color="auto"/>
            </w:tcBorders>
            <w:noWrap/>
            <w:vAlign w:val="center"/>
            <w:hideMark/>
          </w:tcPr>
          <w:p w14:paraId="25CC9EB2"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44</w:t>
            </w:r>
          </w:p>
        </w:tc>
        <w:tc>
          <w:tcPr>
            <w:tcW w:w="598" w:type="pct"/>
            <w:tcBorders>
              <w:top w:val="nil"/>
              <w:left w:val="nil"/>
              <w:bottom w:val="single" w:sz="4" w:space="0" w:color="auto"/>
              <w:right w:val="single" w:sz="4" w:space="0" w:color="auto"/>
            </w:tcBorders>
            <w:noWrap/>
            <w:vAlign w:val="center"/>
            <w:hideMark/>
          </w:tcPr>
          <w:p w14:paraId="35F0E217"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6%</w:t>
            </w:r>
          </w:p>
        </w:tc>
        <w:tc>
          <w:tcPr>
            <w:tcW w:w="831" w:type="pct"/>
            <w:tcBorders>
              <w:top w:val="nil"/>
              <w:left w:val="nil"/>
              <w:bottom w:val="single" w:sz="4" w:space="0" w:color="auto"/>
              <w:right w:val="single" w:sz="4" w:space="0" w:color="auto"/>
            </w:tcBorders>
            <w:noWrap/>
            <w:vAlign w:val="center"/>
            <w:hideMark/>
          </w:tcPr>
          <w:p w14:paraId="751E5482"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0</w:t>
            </w:r>
          </w:p>
        </w:tc>
        <w:tc>
          <w:tcPr>
            <w:tcW w:w="689" w:type="pct"/>
            <w:tcBorders>
              <w:top w:val="nil"/>
              <w:left w:val="nil"/>
              <w:bottom w:val="single" w:sz="4" w:space="0" w:color="auto"/>
              <w:right w:val="single" w:sz="4" w:space="0" w:color="auto"/>
            </w:tcBorders>
            <w:noWrap/>
            <w:vAlign w:val="center"/>
            <w:hideMark/>
          </w:tcPr>
          <w:p w14:paraId="279CFC5C"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0%</w:t>
            </w:r>
          </w:p>
        </w:tc>
        <w:tc>
          <w:tcPr>
            <w:tcW w:w="499" w:type="pct"/>
            <w:tcBorders>
              <w:top w:val="nil"/>
              <w:left w:val="nil"/>
              <w:bottom w:val="single" w:sz="4" w:space="0" w:color="auto"/>
              <w:right w:val="single" w:sz="4" w:space="0" w:color="auto"/>
            </w:tcBorders>
            <w:noWrap/>
            <w:vAlign w:val="center"/>
            <w:hideMark/>
          </w:tcPr>
          <w:p w14:paraId="4C8A1616"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44</w:t>
            </w:r>
          </w:p>
        </w:tc>
        <w:tc>
          <w:tcPr>
            <w:tcW w:w="667" w:type="pct"/>
            <w:tcBorders>
              <w:top w:val="nil"/>
              <w:left w:val="nil"/>
              <w:bottom w:val="single" w:sz="4" w:space="0" w:color="auto"/>
              <w:right w:val="single" w:sz="4" w:space="0" w:color="auto"/>
            </w:tcBorders>
            <w:noWrap/>
            <w:vAlign w:val="center"/>
            <w:hideMark/>
          </w:tcPr>
          <w:p w14:paraId="687E1A77"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4%</w:t>
            </w:r>
          </w:p>
        </w:tc>
      </w:tr>
      <w:tr w:rsidR="00E3132B" w:rsidRPr="00232EBB" w14:paraId="6D907440" w14:textId="77777777" w:rsidTr="00E3132B">
        <w:trPr>
          <w:trHeight w:val="265"/>
          <w:jc w:val="center"/>
        </w:trPr>
        <w:tc>
          <w:tcPr>
            <w:tcW w:w="1102" w:type="pct"/>
            <w:tcBorders>
              <w:top w:val="nil"/>
              <w:left w:val="single" w:sz="4" w:space="0" w:color="auto"/>
              <w:bottom w:val="single" w:sz="4" w:space="0" w:color="auto"/>
              <w:right w:val="single" w:sz="4" w:space="0" w:color="auto"/>
            </w:tcBorders>
            <w:noWrap/>
            <w:vAlign w:val="bottom"/>
            <w:hideMark/>
          </w:tcPr>
          <w:p w14:paraId="0DDC3BC8" w14:textId="77777777" w:rsidR="00E3132B" w:rsidRPr="00232EBB" w:rsidRDefault="00E3132B" w:rsidP="0055368C">
            <w:pPr>
              <w:spacing w:after="0" w:line="240" w:lineRule="auto"/>
              <w:rPr>
                <w:rFonts w:eastAsia="Calibri"/>
                <w:noProof/>
                <w:sz w:val="18"/>
                <w:szCs w:val="18"/>
                <w:lang w:val="es-DO"/>
              </w:rPr>
            </w:pPr>
            <w:r w:rsidRPr="00232EBB">
              <w:rPr>
                <w:rFonts w:eastAsia="Calibri"/>
                <w:noProof/>
                <w:sz w:val="18"/>
                <w:szCs w:val="18"/>
                <w:lang w:val="es-DO"/>
              </w:rPr>
              <w:t>Mejoras en el SUIR</w:t>
            </w:r>
          </w:p>
        </w:tc>
        <w:tc>
          <w:tcPr>
            <w:tcW w:w="614" w:type="pct"/>
            <w:tcBorders>
              <w:top w:val="nil"/>
              <w:left w:val="nil"/>
              <w:bottom w:val="single" w:sz="4" w:space="0" w:color="auto"/>
              <w:right w:val="single" w:sz="4" w:space="0" w:color="auto"/>
            </w:tcBorders>
            <w:noWrap/>
            <w:vAlign w:val="center"/>
            <w:hideMark/>
          </w:tcPr>
          <w:p w14:paraId="54EE2D6A"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34</w:t>
            </w:r>
          </w:p>
        </w:tc>
        <w:tc>
          <w:tcPr>
            <w:tcW w:w="598" w:type="pct"/>
            <w:tcBorders>
              <w:top w:val="nil"/>
              <w:left w:val="nil"/>
              <w:bottom w:val="single" w:sz="4" w:space="0" w:color="auto"/>
              <w:right w:val="single" w:sz="4" w:space="0" w:color="auto"/>
            </w:tcBorders>
            <w:noWrap/>
            <w:vAlign w:val="center"/>
            <w:hideMark/>
          </w:tcPr>
          <w:p w14:paraId="50511978"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5%</w:t>
            </w:r>
          </w:p>
        </w:tc>
        <w:tc>
          <w:tcPr>
            <w:tcW w:w="831" w:type="pct"/>
            <w:tcBorders>
              <w:top w:val="nil"/>
              <w:left w:val="nil"/>
              <w:bottom w:val="single" w:sz="4" w:space="0" w:color="auto"/>
              <w:right w:val="single" w:sz="4" w:space="0" w:color="auto"/>
            </w:tcBorders>
            <w:noWrap/>
            <w:vAlign w:val="center"/>
            <w:hideMark/>
          </w:tcPr>
          <w:p w14:paraId="524AE1E4"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28</w:t>
            </w:r>
          </w:p>
        </w:tc>
        <w:tc>
          <w:tcPr>
            <w:tcW w:w="689" w:type="pct"/>
            <w:tcBorders>
              <w:top w:val="nil"/>
              <w:left w:val="nil"/>
              <w:bottom w:val="single" w:sz="4" w:space="0" w:color="auto"/>
              <w:right w:val="single" w:sz="4" w:space="0" w:color="auto"/>
            </w:tcBorders>
            <w:noWrap/>
            <w:vAlign w:val="center"/>
            <w:hideMark/>
          </w:tcPr>
          <w:p w14:paraId="1DC8C4BE"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9%</w:t>
            </w:r>
          </w:p>
        </w:tc>
        <w:tc>
          <w:tcPr>
            <w:tcW w:w="499" w:type="pct"/>
            <w:tcBorders>
              <w:top w:val="nil"/>
              <w:left w:val="nil"/>
              <w:bottom w:val="single" w:sz="4" w:space="0" w:color="auto"/>
              <w:right w:val="single" w:sz="4" w:space="0" w:color="auto"/>
            </w:tcBorders>
            <w:noWrap/>
            <w:vAlign w:val="center"/>
            <w:hideMark/>
          </w:tcPr>
          <w:p w14:paraId="3A30697E"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62</w:t>
            </w:r>
          </w:p>
        </w:tc>
        <w:tc>
          <w:tcPr>
            <w:tcW w:w="667" w:type="pct"/>
            <w:tcBorders>
              <w:top w:val="nil"/>
              <w:left w:val="nil"/>
              <w:bottom w:val="single" w:sz="4" w:space="0" w:color="auto"/>
              <w:right w:val="single" w:sz="4" w:space="0" w:color="auto"/>
            </w:tcBorders>
            <w:noWrap/>
            <w:vAlign w:val="center"/>
            <w:hideMark/>
          </w:tcPr>
          <w:p w14:paraId="6E4BD0A6"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6%</w:t>
            </w:r>
          </w:p>
        </w:tc>
      </w:tr>
      <w:tr w:rsidR="00E3132B" w:rsidRPr="00232EBB" w14:paraId="74D758EE" w14:textId="77777777" w:rsidTr="00E3132B">
        <w:trPr>
          <w:trHeight w:val="265"/>
          <w:jc w:val="center"/>
        </w:trPr>
        <w:tc>
          <w:tcPr>
            <w:tcW w:w="1102" w:type="pct"/>
            <w:tcBorders>
              <w:top w:val="nil"/>
              <w:left w:val="single" w:sz="4" w:space="0" w:color="auto"/>
              <w:bottom w:val="single" w:sz="4" w:space="0" w:color="auto"/>
              <w:right w:val="single" w:sz="4" w:space="0" w:color="auto"/>
            </w:tcBorders>
            <w:noWrap/>
            <w:vAlign w:val="bottom"/>
            <w:hideMark/>
          </w:tcPr>
          <w:p w14:paraId="59C8B681" w14:textId="77777777" w:rsidR="00E3132B" w:rsidRPr="00232EBB" w:rsidRDefault="00E3132B" w:rsidP="0055368C">
            <w:pPr>
              <w:spacing w:after="0" w:line="240" w:lineRule="auto"/>
              <w:rPr>
                <w:rFonts w:eastAsia="Calibri"/>
                <w:noProof/>
                <w:sz w:val="18"/>
                <w:szCs w:val="18"/>
                <w:lang w:val="es-DO"/>
              </w:rPr>
            </w:pPr>
            <w:r w:rsidRPr="00232EBB">
              <w:rPr>
                <w:rFonts w:eastAsia="Calibri"/>
                <w:noProof/>
                <w:sz w:val="18"/>
                <w:szCs w:val="18"/>
                <w:lang w:val="es-DO"/>
              </w:rPr>
              <w:t>Accesibilidad</w:t>
            </w:r>
          </w:p>
        </w:tc>
        <w:tc>
          <w:tcPr>
            <w:tcW w:w="614" w:type="pct"/>
            <w:tcBorders>
              <w:top w:val="nil"/>
              <w:left w:val="nil"/>
              <w:bottom w:val="single" w:sz="4" w:space="0" w:color="auto"/>
              <w:right w:val="single" w:sz="4" w:space="0" w:color="auto"/>
            </w:tcBorders>
            <w:noWrap/>
            <w:vAlign w:val="center"/>
            <w:hideMark/>
          </w:tcPr>
          <w:p w14:paraId="040E6B6D"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31</w:t>
            </w:r>
          </w:p>
        </w:tc>
        <w:tc>
          <w:tcPr>
            <w:tcW w:w="598" w:type="pct"/>
            <w:tcBorders>
              <w:top w:val="nil"/>
              <w:left w:val="nil"/>
              <w:bottom w:val="single" w:sz="4" w:space="0" w:color="auto"/>
              <w:right w:val="single" w:sz="4" w:space="0" w:color="auto"/>
            </w:tcBorders>
            <w:noWrap/>
            <w:vAlign w:val="center"/>
            <w:hideMark/>
          </w:tcPr>
          <w:p w14:paraId="383BF20A"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4%</w:t>
            </w:r>
          </w:p>
        </w:tc>
        <w:tc>
          <w:tcPr>
            <w:tcW w:w="831" w:type="pct"/>
            <w:tcBorders>
              <w:top w:val="nil"/>
              <w:left w:val="nil"/>
              <w:bottom w:val="single" w:sz="4" w:space="0" w:color="auto"/>
              <w:right w:val="single" w:sz="4" w:space="0" w:color="auto"/>
            </w:tcBorders>
            <w:noWrap/>
            <w:vAlign w:val="center"/>
            <w:hideMark/>
          </w:tcPr>
          <w:p w14:paraId="6EC1415F"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34</w:t>
            </w:r>
          </w:p>
        </w:tc>
        <w:tc>
          <w:tcPr>
            <w:tcW w:w="689" w:type="pct"/>
            <w:tcBorders>
              <w:top w:val="nil"/>
              <w:left w:val="nil"/>
              <w:bottom w:val="single" w:sz="4" w:space="0" w:color="auto"/>
              <w:right w:val="single" w:sz="4" w:space="0" w:color="auto"/>
            </w:tcBorders>
            <w:noWrap/>
            <w:vAlign w:val="center"/>
            <w:hideMark/>
          </w:tcPr>
          <w:p w14:paraId="06F5CE41"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10%</w:t>
            </w:r>
          </w:p>
        </w:tc>
        <w:tc>
          <w:tcPr>
            <w:tcW w:w="499" w:type="pct"/>
            <w:tcBorders>
              <w:top w:val="nil"/>
              <w:left w:val="nil"/>
              <w:bottom w:val="single" w:sz="4" w:space="0" w:color="auto"/>
              <w:right w:val="single" w:sz="4" w:space="0" w:color="auto"/>
            </w:tcBorders>
            <w:noWrap/>
            <w:vAlign w:val="center"/>
            <w:hideMark/>
          </w:tcPr>
          <w:p w14:paraId="1EF64717"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64</w:t>
            </w:r>
          </w:p>
        </w:tc>
        <w:tc>
          <w:tcPr>
            <w:tcW w:w="667" w:type="pct"/>
            <w:tcBorders>
              <w:top w:val="nil"/>
              <w:left w:val="nil"/>
              <w:bottom w:val="single" w:sz="4" w:space="0" w:color="auto"/>
              <w:right w:val="single" w:sz="4" w:space="0" w:color="auto"/>
            </w:tcBorders>
            <w:noWrap/>
            <w:vAlign w:val="center"/>
            <w:hideMark/>
          </w:tcPr>
          <w:p w14:paraId="69120F06"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6%</w:t>
            </w:r>
          </w:p>
        </w:tc>
      </w:tr>
      <w:tr w:rsidR="00E3132B" w:rsidRPr="00232EBB" w14:paraId="7BC94844" w14:textId="77777777" w:rsidTr="00E3132B">
        <w:trPr>
          <w:trHeight w:val="265"/>
          <w:jc w:val="center"/>
        </w:trPr>
        <w:tc>
          <w:tcPr>
            <w:tcW w:w="1102" w:type="pct"/>
            <w:tcBorders>
              <w:top w:val="nil"/>
              <w:left w:val="single" w:sz="4" w:space="0" w:color="auto"/>
              <w:bottom w:val="single" w:sz="4" w:space="0" w:color="auto"/>
              <w:right w:val="single" w:sz="4" w:space="0" w:color="auto"/>
            </w:tcBorders>
            <w:noWrap/>
            <w:vAlign w:val="bottom"/>
            <w:hideMark/>
          </w:tcPr>
          <w:p w14:paraId="047B970E" w14:textId="77777777" w:rsidR="00E3132B" w:rsidRPr="00232EBB" w:rsidRDefault="00E3132B" w:rsidP="0055368C">
            <w:pPr>
              <w:spacing w:after="0" w:line="240" w:lineRule="auto"/>
              <w:rPr>
                <w:rFonts w:eastAsia="Calibri"/>
                <w:noProof/>
                <w:sz w:val="18"/>
                <w:szCs w:val="18"/>
                <w:lang w:val="es-DO"/>
              </w:rPr>
            </w:pPr>
            <w:r w:rsidRPr="00232EBB">
              <w:rPr>
                <w:rFonts w:eastAsia="Calibri"/>
                <w:noProof/>
                <w:sz w:val="18"/>
                <w:szCs w:val="18"/>
                <w:lang w:val="es-DO"/>
              </w:rPr>
              <w:t>Error en el sistema</w:t>
            </w:r>
          </w:p>
        </w:tc>
        <w:tc>
          <w:tcPr>
            <w:tcW w:w="614" w:type="pct"/>
            <w:tcBorders>
              <w:top w:val="nil"/>
              <w:left w:val="nil"/>
              <w:bottom w:val="single" w:sz="4" w:space="0" w:color="auto"/>
              <w:right w:val="single" w:sz="4" w:space="0" w:color="auto"/>
            </w:tcBorders>
            <w:noWrap/>
            <w:vAlign w:val="center"/>
            <w:hideMark/>
          </w:tcPr>
          <w:p w14:paraId="145E997A"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13</w:t>
            </w:r>
          </w:p>
        </w:tc>
        <w:tc>
          <w:tcPr>
            <w:tcW w:w="598" w:type="pct"/>
            <w:tcBorders>
              <w:top w:val="nil"/>
              <w:left w:val="nil"/>
              <w:bottom w:val="single" w:sz="4" w:space="0" w:color="auto"/>
              <w:right w:val="single" w:sz="4" w:space="0" w:color="auto"/>
            </w:tcBorders>
            <w:noWrap/>
            <w:vAlign w:val="center"/>
            <w:hideMark/>
          </w:tcPr>
          <w:p w14:paraId="0C32A94D"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2%</w:t>
            </w:r>
          </w:p>
        </w:tc>
        <w:tc>
          <w:tcPr>
            <w:tcW w:w="831" w:type="pct"/>
            <w:tcBorders>
              <w:top w:val="nil"/>
              <w:left w:val="nil"/>
              <w:bottom w:val="single" w:sz="4" w:space="0" w:color="auto"/>
              <w:right w:val="single" w:sz="4" w:space="0" w:color="auto"/>
            </w:tcBorders>
            <w:noWrap/>
            <w:vAlign w:val="center"/>
            <w:hideMark/>
          </w:tcPr>
          <w:p w14:paraId="0E95A97F"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0</w:t>
            </w:r>
          </w:p>
        </w:tc>
        <w:tc>
          <w:tcPr>
            <w:tcW w:w="689" w:type="pct"/>
            <w:tcBorders>
              <w:top w:val="nil"/>
              <w:left w:val="nil"/>
              <w:bottom w:val="single" w:sz="4" w:space="0" w:color="auto"/>
              <w:right w:val="single" w:sz="4" w:space="0" w:color="auto"/>
            </w:tcBorders>
            <w:noWrap/>
            <w:vAlign w:val="center"/>
            <w:hideMark/>
          </w:tcPr>
          <w:p w14:paraId="1E941B4B"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0%</w:t>
            </w:r>
          </w:p>
        </w:tc>
        <w:tc>
          <w:tcPr>
            <w:tcW w:w="499" w:type="pct"/>
            <w:tcBorders>
              <w:top w:val="nil"/>
              <w:left w:val="nil"/>
              <w:bottom w:val="single" w:sz="4" w:space="0" w:color="auto"/>
              <w:right w:val="single" w:sz="4" w:space="0" w:color="auto"/>
            </w:tcBorders>
            <w:noWrap/>
            <w:vAlign w:val="center"/>
            <w:hideMark/>
          </w:tcPr>
          <w:p w14:paraId="32E7E1E4"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13</w:t>
            </w:r>
          </w:p>
        </w:tc>
        <w:tc>
          <w:tcPr>
            <w:tcW w:w="667" w:type="pct"/>
            <w:tcBorders>
              <w:top w:val="nil"/>
              <w:left w:val="nil"/>
              <w:bottom w:val="single" w:sz="4" w:space="0" w:color="auto"/>
              <w:right w:val="single" w:sz="4" w:space="0" w:color="auto"/>
            </w:tcBorders>
            <w:noWrap/>
            <w:vAlign w:val="center"/>
            <w:hideMark/>
          </w:tcPr>
          <w:p w14:paraId="04D1B2E9"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1%</w:t>
            </w:r>
          </w:p>
        </w:tc>
      </w:tr>
      <w:tr w:rsidR="00E3132B" w:rsidRPr="00232EBB" w14:paraId="6FFAF6E6" w14:textId="77777777" w:rsidTr="00E3132B">
        <w:trPr>
          <w:trHeight w:val="265"/>
          <w:jc w:val="center"/>
        </w:trPr>
        <w:tc>
          <w:tcPr>
            <w:tcW w:w="1102" w:type="pct"/>
            <w:tcBorders>
              <w:top w:val="nil"/>
              <w:left w:val="single" w:sz="4" w:space="0" w:color="auto"/>
              <w:bottom w:val="single" w:sz="4" w:space="0" w:color="auto"/>
              <w:right w:val="single" w:sz="4" w:space="0" w:color="auto"/>
            </w:tcBorders>
            <w:noWrap/>
            <w:vAlign w:val="bottom"/>
            <w:hideMark/>
          </w:tcPr>
          <w:p w14:paraId="73E65EAC" w14:textId="77777777" w:rsidR="00E3132B" w:rsidRPr="00232EBB" w:rsidRDefault="00E3132B" w:rsidP="0055368C">
            <w:pPr>
              <w:spacing w:after="0" w:line="240" w:lineRule="auto"/>
              <w:rPr>
                <w:rFonts w:eastAsia="Calibri"/>
                <w:noProof/>
                <w:sz w:val="18"/>
                <w:szCs w:val="18"/>
                <w:lang w:val="es-DO"/>
              </w:rPr>
            </w:pPr>
            <w:r w:rsidRPr="00232EBB">
              <w:rPr>
                <w:rFonts w:eastAsia="Calibri"/>
                <w:noProof/>
                <w:sz w:val="18"/>
                <w:szCs w:val="18"/>
                <w:lang w:val="es-DO"/>
              </w:rPr>
              <w:t>Servicios</w:t>
            </w:r>
          </w:p>
        </w:tc>
        <w:tc>
          <w:tcPr>
            <w:tcW w:w="614" w:type="pct"/>
            <w:tcBorders>
              <w:top w:val="nil"/>
              <w:left w:val="nil"/>
              <w:bottom w:val="single" w:sz="4" w:space="0" w:color="auto"/>
              <w:right w:val="single" w:sz="4" w:space="0" w:color="auto"/>
            </w:tcBorders>
            <w:noWrap/>
            <w:vAlign w:val="center"/>
            <w:hideMark/>
          </w:tcPr>
          <w:p w14:paraId="67CAE3FE"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10</w:t>
            </w:r>
          </w:p>
        </w:tc>
        <w:tc>
          <w:tcPr>
            <w:tcW w:w="598" w:type="pct"/>
            <w:tcBorders>
              <w:top w:val="nil"/>
              <w:left w:val="nil"/>
              <w:bottom w:val="single" w:sz="4" w:space="0" w:color="auto"/>
              <w:right w:val="single" w:sz="4" w:space="0" w:color="auto"/>
            </w:tcBorders>
            <w:noWrap/>
            <w:vAlign w:val="center"/>
            <w:hideMark/>
          </w:tcPr>
          <w:p w14:paraId="6D997CAF"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1%</w:t>
            </w:r>
          </w:p>
        </w:tc>
        <w:tc>
          <w:tcPr>
            <w:tcW w:w="831" w:type="pct"/>
            <w:tcBorders>
              <w:top w:val="nil"/>
              <w:left w:val="nil"/>
              <w:bottom w:val="single" w:sz="4" w:space="0" w:color="auto"/>
              <w:right w:val="single" w:sz="4" w:space="0" w:color="auto"/>
            </w:tcBorders>
            <w:noWrap/>
            <w:vAlign w:val="center"/>
            <w:hideMark/>
          </w:tcPr>
          <w:p w14:paraId="3451379E"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15</w:t>
            </w:r>
          </w:p>
        </w:tc>
        <w:tc>
          <w:tcPr>
            <w:tcW w:w="689" w:type="pct"/>
            <w:tcBorders>
              <w:top w:val="nil"/>
              <w:left w:val="nil"/>
              <w:bottom w:val="single" w:sz="4" w:space="0" w:color="auto"/>
              <w:right w:val="single" w:sz="4" w:space="0" w:color="auto"/>
            </w:tcBorders>
            <w:noWrap/>
            <w:vAlign w:val="center"/>
            <w:hideMark/>
          </w:tcPr>
          <w:p w14:paraId="2ACF6D8F"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5%</w:t>
            </w:r>
          </w:p>
        </w:tc>
        <w:tc>
          <w:tcPr>
            <w:tcW w:w="499" w:type="pct"/>
            <w:tcBorders>
              <w:top w:val="nil"/>
              <w:left w:val="nil"/>
              <w:bottom w:val="single" w:sz="4" w:space="0" w:color="auto"/>
              <w:right w:val="single" w:sz="4" w:space="0" w:color="auto"/>
            </w:tcBorders>
            <w:noWrap/>
            <w:vAlign w:val="center"/>
            <w:hideMark/>
          </w:tcPr>
          <w:p w14:paraId="72AAD386"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25</w:t>
            </w:r>
          </w:p>
        </w:tc>
        <w:tc>
          <w:tcPr>
            <w:tcW w:w="667" w:type="pct"/>
            <w:tcBorders>
              <w:top w:val="nil"/>
              <w:left w:val="nil"/>
              <w:bottom w:val="single" w:sz="4" w:space="0" w:color="auto"/>
              <w:right w:val="single" w:sz="4" w:space="0" w:color="auto"/>
            </w:tcBorders>
            <w:noWrap/>
            <w:vAlign w:val="center"/>
            <w:hideMark/>
          </w:tcPr>
          <w:p w14:paraId="1E81ADF3" w14:textId="77777777" w:rsidR="00E3132B" w:rsidRPr="00232EBB" w:rsidRDefault="00E3132B" w:rsidP="0055368C">
            <w:pPr>
              <w:spacing w:after="0" w:line="240" w:lineRule="auto"/>
              <w:jc w:val="center"/>
              <w:rPr>
                <w:rFonts w:eastAsia="Calibri"/>
                <w:noProof/>
                <w:sz w:val="18"/>
                <w:szCs w:val="18"/>
                <w:lang w:val="es-DO"/>
              </w:rPr>
            </w:pPr>
            <w:r w:rsidRPr="00232EBB">
              <w:rPr>
                <w:rFonts w:eastAsia="Calibri"/>
                <w:noProof/>
                <w:sz w:val="18"/>
                <w:szCs w:val="18"/>
                <w:lang w:val="es-DO"/>
              </w:rPr>
              <w:t>2%</w:t>
            </w:r>
          </w:p>
        </w:tc>
      </w:tr>
      <w:tr w:rsidR="00E3132B" w:rsidRPr="00232EBB" w14:paraId="73E5978C" w14:textId="77777777" w:rsidTr="00E3132B">
        <w:trPr>
          <w:trHeight w:val="265"/>
          <w:jc w:val="center"/>
        </w:trPr>
        <w:tc>
          <w:tcPr>
            <w:tcW w:w="1102" w:type="pct"/>
            <w:tcBorders>
              <w:top w:val="nil"/>
              <w:left w:val="single" w:sz="4" w:space="0" w:color="auto"/>
              <w:bottom w:val="single" w:sz="4" w:space="0" w:color="auto"/>
              <w:right w:val="single" w:sz="4" w:space="0" w:color="auto"/>
            </w:tcBorders>
            <w:noWrap/>
            <w:vAlign w:val="bottom"/>
            <w:hideMark/>
          </w:tcPr>
          <w:p w14:paraId="09DEDB88" w14:textId="77777777" w:rsidR="00E3132B" w:rsidRPr="00232EBB" w:rsidRDefault="00E3132B" w:rsidP="0055368C">
            <w:pPr>
              <w:spacing w:after="0" w:line="240" w:lineRule="auto"/>
              <w:rPr>
                <w:rFonts w:eastAsia="Calibri"/>
                <w:noProof/>
                <w:sz w:val="18"/>
                <w:szCs w:val="18"/>
                <w:lang w:val="es-DO"/>
              </w:rPr>
            </w:pPr>
            <w:r w:rsidRPr="00232EBB">
              <w:rPr>
                <w:rFonts w:eastAsia="Calibri"/>
                <w:noProof/>
                <w:sz w:val="18"/>
                <w:szCs w:val="18"/>
                <w:lang w:val="es-DO"/>
              </w:rPr>
              <w:t>Tardanza en respuesta</w:t>
            </w:r>
          </w:p>
        </w:tc>
        <w:tc>
          <w:tcPr>
            <w:tcW w:w="614" w:type="pct"/>
            <w:tcBorders>
              <w:top w:val="nil"/>
              <w:left w:val="nil"/>
              <w:bottom w:val="single" w:sz="4" w:space="0" w:color="auto"/>
              <w:right w:val="single" w:sz="4" w:space="0" w:color="auto"/>
            </w:tcBorders>
            <w:noWrap/>
            <w:vAlign w:val="center"/>
            <w:hideMark/>
          </w:tcPr>
          <w:p w14:paraId="45989B31" w14:textId="77777777" w:rsidR="00E3132B" w:rsidRPr="00232EBB" w:rsidRDefault="00E3132B" w:rsidP="0055368C">
            <w:pPr>
              <w:spacing w:after="0" w:line="240" w:lineRule="auto"/>
              <w:jc w:val="center"/>
              <w:rPr>
                <w:rFonts w:eastAsia="Calibri"/>
                <w:noProof/>
                <w:lang w:val="es-DO"/>
              </w:rPr>
            </w:pPr>
            <w:r w:rsidRPr="00232EBB">
              <w:rPr>
                <w:rFonts w:eastAsia="Calibri"/>
                <w:noProof/>
                <w:lang w:val="es-DO"/>
              </w:rPr>
              <w:t>8</w:t>
            </w:r>
          </w:p>
        </w:tc>
        <w:tc>
          <w:tcPr>
            <w:tcW w:w="598" w:type="pct"/>
            <w:tcBorders>
              <w:top w:val="nil"/>
              <w:left w:val="nil"/>
              <w:bottom w:val="single" w:sz="4" w:space="0" w:color="auto"/>
              <w:right w:val="single" w:sz="4" w:space="0" w:color="auto"/>
            </w:tcBorders>
            <w:noWrap/>
            <w:vAlign w:val="center"/>
            <w:hideMark/>
          </w:tcPr>
          <w:p w14:paraId="0A8675C7" w14:textId="77777777" w:rsidR="00E3132B" w:rsidRPr="00232EBB" w:rsidRDefault="00E3132B" w:rsidP="0055368C">
            <w:pPr>
              <w:spacing w:after="0" w:line="240" w:lineRule="auto"/>
              <w:jc w:val="center"/>
              <w:rPr>
                <w:rFonts w:eastAsia="Calibri"/>
                <w:noProof/>
                <w:lang w:val="es-DO"/>
              </w:rPr>
            </w:pPr>
            <w:r w:rsidRPr="00232EBB">
              <w:rPr>
                <w:rFonts w:eastAsia="Calibri"/>
                <w:noProof/>
                <w:lang w:val="es-DO"/>
              </w:rPr>
              <w:t>1%</w:t>
            </w:r>
          </w:p>
        </w:tc>
        <w:tc>
          <w:tcPr>
            <w:tcW w:w="831" w:type="pct"/>
            <w:tcBorders>
              <w:top w:val="nil"/>
              <w:left w:val="nil"/>
              <w:bottom w:val="single" w:sz="4" w:space="0" w:color="auto"/>
              <w:right w:val="single" w:sz="4" w:space="0" w:color="auto"/>
            </w:tcBorders>
            <w:noWrap/>
            <w:vAlign w:val="center"/>
            <w:hideMark/>
          </w:tcPr>
          <w:p w14:paraId="63611800" w14:textId="77777777" w:rsidR="00E3132B" w:rsidRPr="00232EBB" w:rsidRDefault="00E3132B" w:rsidP="0055368C">
            <w:pPr>
              <w:spacing w:after="0" w:line="240" w:lineRule="auto"/>
              <w:jc w:val="center"/>
              <w:rPr>
                <w:rFonts w:eastAsia="Calibri"/>
                <w:noProof/>
                <w:lang w:val="es-DO"/>
              </w:rPr>
            </w:pPr>
            <w:r w:rsidRPr="00232EBB">
              <w:rPr>
                <w:rFonts w:eastAsia="Calibri"/>
                <w:noProof/>
                <w:lang w:val="es-DO"/>
              </w:rPr>
              <w:t>2</w:t>
            </w:r>
          </w:p>
        </w:tc>
        <w:tc>
          <w:tcPr>
            <w:tcW w:w="689" w:type="pct"/>
            <w:tcBorders>
              <w:top w:val="nil"/>
              <w:left w:val="nil"/>
              <w:bottom w:val="single" w:sz="4" w:space="0" w:color="auto"/>
              <w:right w:val="single" w:sz="4" w:space="0" w:color="auto"/>
            </w:tcBorders>
            <w:noWrap/>
            <w:vAlign w:val="center"/>
            <w:hideMark/>
          </w:tcPr>
          <w:p w14:paraId="1EE2A77F" w14:textId="77777777" w:rsidR="00E3132B" w:rsidRPr="00232EBB" w:rsidRDefault="00E3132B" w:rsidP="0055368C">
            <w:pPr>
              <w:spacing w:after="0" w:line="240" w:lineRule="auto"/>
              <w:jc w:val="center"/>
              <w:rPr>
                <w:rFonts w:eastAsia="Calibri"/>
                <w:noProof/>
                <w:lang w:val="es-DO"/>
              </w:rPr>
            </w:pPr>
            <w:r w:rsidRPr="00232EBB">
              <w:rPr>
                <w:rFonts w:eastAsia="Calibri"/>
                <w:noProof/>
                <w:lang w:val="es-DO"/>
              </w:rPr>
              <w:t>1%</w:t>
            </w:r>
          </w:p>
        </w:tc>
        <w:tc>
          <w:tcPr>
            <w:tcW w:w="499" w:type="pct"/>
            <w:tcBorders>
              <w:top w:val="nil"/>
              <w:left w:val="nil"/>
              <w:bottom w:val="single" w:sz="4" w:space="0" w:color="auto"/>
              <w:right w:val="single" w:sz="4" w:space="0" w:color="auto"/>
            </w:tcBorders>
            <w:noWrap/>
            <w:vAlign w:val="center"/>
            <w:hideMark/>
          </w:tcPr>
          <w:p w14:paraId="78407166" w14:textId="77777777" w:rsidR="00E3132B" w:rsidRPr="00232EBB" w:rsidRDefault="00E3132B" w:rsidP="0055368C">
            <w:pPr>
              <w:spacing w:after="0" w:line="240" w:lineRule="auto"/>
              <w:jc w:val="center"/>
              <w:rPr>
                <w:rFonts w:eastAsia="Calibri"/>
                <w:noProof/>
                <w:lang w:val="es-DO"/>
              </w:rPr>
            </w:pPr>
            <w:r w:rsidRPr="00232EBB">
              <w:rPr>
                <w:rFonts w:eastAsia="Calibri"/>
                <w:noProof/>
                <w:lang w:val="es-DO"/>
              </w:rPr>
              <w:t>10</w:t>
            </w:r>
          </w:p>
        </w:tc>
        <w:tc>
          <w:tcPr>
            <w:tcW w:w="667" w:type="pct"/>
            <w:tcBorders>
              <w:top w:val="nil"/>
              <w:left w:val="nil"/>
              <w:bottom w:val="single" w:sz="4" w:space="0" w:color="auto"/>
              <w:right w:val="single" w:sz="4" w:space="0" w:color="auto"/>
            </w:tcBorders>
            <w:noWrap/>
            <w:vAlign w:val="center"/>
            <w:hideMark/>
          </w:tcPr>
          <w:p w14:paraId="5B4B5415" w14:textId="77777777" w:rsidR="00E3132B" w:rsidRPr="00232EBB" w:rsidRDefault="00E3132B" w:rsidP="0055368C">
            <w:pPr>
              <w:spacing w:after="0" w:line="240" w:lineRule="auto"/>
              <w:jc w:val="center"/>
              <w:rPr>
                <w:rFonts w:eastAsia="Calibri"/>
                <w:noProof/>
                <w:lang w:val="es-DO"/>
              </w:rPr>
            </w:pPr>
            <w:r w:rsidRPr="00232EBB">
              <w:rPr>
                <w:rFonts w:eastAsia="Calibri"/>
                <w:noProof/>
                <w:lang w:val="es-DO"/>
              </w:rPr>
              <w:t>1%</w:t>
            </w:r>
          </w:p>
        </w:tc>
      </w:tr>
      <w:tr w:rsidR="00E3132B" w:rsidRPr="00232EBB" w14:paraId="2C71C506" w14:textId="77777777" w:rsidTr="00E3132B">
        <w:trPr>
          <w:trHeight w:val="265"/>
          <w:jc w:val="center"/>
        </w:trPr>
        <w:tc>
          <w:tcPr>
            <w:tcW w:w="1102" w:type="pct"/>
            <w:tcBorders>
              <w:top w:val="nil"/>
              <w:left w:val="single" w:sz="4" w:space="0" w:color="auto"/>
              <w:bottom w:val="single" w:sz="4" w:space="0" w:color="auto"/>
              <w:right w:val="single" w:sz="4" w:space="0" w:color="auto"/>
            </w:tcBorders>
            <w:noWrap/>
            <w:vAlign w:val="bottom"/>
            <w:hideMark/>
          </w:tcPr>
          <w:p w14:paraId="49F3C19B" w14:textId="77777777" w:rsidR="00E3132B" w:rsidRPr="00232EBB" w:rsidRDefault="00E3132B" w:rsidP="0055368C">
            <w:pPr>
              <w:spacing w:after="0" w:line="240" w:lineRule="auto"/>
              <w:rPr>
                <w:rFonts w:eastAsia="Calibri"/>
                <w:noProof/>
                <w:sz w:val="18"/>
                <w:szCs w:val="18"/>
                <w:lang w:val="es-DO"/>
              </w:rPr>
            </w:pPr>
            <w:r w:rsidRPr="00232EBB">
              <w:rPr>
                <w:rFonts w:eastAsia="Calibri"/>
                <w:noProof/>
                <w:sz w:val="18"/>
                <w:szCs w:val="18"/>
                <w:lang w:val="es-DO"/>
              </w:rPr>
              <w:t>No Clasificado</w:t>
            </w:r>
          </w:p>
        </w:tc>
        <w:tc>
          <w:tcPr>
            <w:tcW w:w="614" w:type="pct"/>
            <w:tcBorders>
              <w:top w:val="nil"/>
              <w:left w:val="nil"/>
              <w:bottom w:val="single" w:sz="4" w:space="0" w:color="auto"/>
              <w:right w:val="single" w:sz="4" w:space="0" w:color="auto"/>
            </w:tcBorders>
            <w:noWrap/>
            <w:vAlign w:val="center"/>
            <w:hideMark/>
          </w:tcPr>
          <w:p w14:paraId="275738F1" w14:textId="77777777" w:rsidR="00E3132B" w:rsidRPr="00232EBB" w:rsidRDefault="00E3132B" w:rsidP="0055368C">
            <w:pPr>
              <w:spacing w:after="0" w:line="240" w:lineRule="auto"/>
              <w:jc w:val="center"/>
              <w:rPr>
                <w:rFonts w:eastAsia="Calibri"/>
                <w:noProof/>
                <w:lang w:val="es-DO"/>
              </w:rPr>
            </w:pPr>
            <w:r w:rsidRPr="00232EBB">
              <w:rPr>
                <w:rFonts w:eastAsia="Calibri"/>
                <w:noProof/>
                <w:lang w:val="es-DO"/>
              </w:rPr>
              <w:t>2</w:t>
            </w:r>
          </w:p>
        </w:tc>
        <w:tc>
          <w:tcPr>
            <w:tcW w:w="598" w:type="pct"/>
            <w:tcBorders>
              <w:top w:val="nil"/>
              <w:left w:val="nil"/>
              <w:bottom w:val="single" w:sz="4" w:space="0" w:color="auto"/>
              <w:right w:val="single" w:sz="4" w:space="0" w:color="auto"/>
            </w:tcBorders>
            <w:noWrap/>
            <w:vAlign w:val="center"/>
            <w:hideMark/>
          </w:tcPr>
          <w:p w14:paraId="58304307" w14:textId="77777777" w:rsidR="00E3132B" w:rsidRPr="00232EBB" w:rsidRDefault="00E3132B" w:rsidP="0055368C">
            <w:pPr>
              <w:spacing w:after="0" w:line="240" w:lineRule="auto"/>
              <w:jc w:val="center"/>
              <w:rPr>
                <w:rFonts w:eastAsia="Calibri"/>
                <w:noProof/>
                <w:lang w:val="es-DO"/>
              </w:rPr>
            </w:pPr>
            <w:r w:rsidRPr="00232EBB">
              <w:rPr>
                <w:rFonts w:eastAsia="Calibri"/>
                <w:noProof/>
                <w:lang w:val="es-DO"/>
              </w:rPr>
              <w:t>0%</w:t>
            </w:r>
          </w:p>
        </w:tc>
        <w:tc>
          <w:tcPr>
            <w:tcW w:w="831" w:type="pct"/>
            <w:tcBorders>
              <w:top w:val="nil"/>
              <w:left w:val="nil"/>
              <w:bottom w:val="single" w:sz="4" w:space="0" w:color="auto"/>
              <w:right w:val="single" w:sz="4" w:space="0" w:color="auto"/>
            </w:tcBorders>
            <w:noWrap/>
            <w:vAlign w:val="center"/>
            <w:hideMark/>
          </w:tcPr>
          <w:p w14:paraId="4E883657" w14:textId="77777777" w:rsidR="00E3132B" w:rsidRPr="00232EBB" w:rsidRDefault="00E3132B" w:rsidP="0055368C">
            <w:pPr>
              <w:spacing w:after="0" w:line="240" w:lineRule="auto"/>
              <w:jc w:val="center"/>
              <w:rPr>
                <w:rFonts w:eastAsia="Calibri"/>
                <w:noProof/>
                <w:lang w:val="es-DO"/>
              </w:rPr>
            </w:pPr>
            <w:r w:rsidRPr="00232EBB">
              <w:rPr>
                <w:rFonts w:eastAsia="Calibri"/>
                <w:noProof/>
                <w:lang w:val="es-DO"/>
              </w:rPr>
              <w:t>9</w:t>
            </w:r>
          </w:p>
        </w:tc>
        <w:tc>
          <w:tcPr>
            <w:tcW w:w="689" w:type="pct"/>
            <w:tcBorders>
              <w:top w:val="nil"/>
              <w:left w:val="nil"/>
              <w:bottom w:val="single" w:sz="4" w:space="0" w:color="auto"/>
              <w:right w:val="single" w:sz="4" w:space="0" w:color="auto"/>
            </w:tcBorders>
            <w:noWrap/>
            <w:vAlign w:val="center"/>
            <w:hideMark/>
          </w:tcPr>
          <w:p w14:paraId="5A99766E" w14:textId="77777777" w:rsidR="00E3132B" w:rsidRPr="00232EBB" w:rsidRDefault="00E3132B" w:rsidP="0055368C">
            <w:pPr>
              <w:spacing w:after="0" w:line="240" w:lineRule="auto"/>
              <w:jc w:val="center"/>
              <w:rPr>
                <w:rFonts w:eastAsia="Calibri"/>
                <w:noProof/>
                <w:lang w:val="es-DO"/>
              </w:rPr>
            </w:pPr>
            <w:r w:rsidRPr="00232EBB">
              <w:rPr>
                <w:rFonts w:eastAsia="Calibri"/>
                <w:noProof/>
                <w:lang w:val="es-DO"/>
              </w:rPr>
              <w:t>3%</w:t>
            </w:r>
          </w:p>
        </w:tc>
        <w:tc>
          <w:tcPr>
            <w:tcW w:w="499" w:type="pct"/>
            <w:tcBorders>
              <w:top w:val="nil"/>
              <w:left w:val="nil"/>
              <w:bottom w:val="single" w:sz="4" w:space="0" w:color="auto"/>
              <w:right w:val="single" w:sz="4" w:space="0" w:color="auto"/>
            </w:tcBorders>
            <w:noWrap/>
            <w:vAlign w:val="center"/>
            <w:hideMark/>
          </w:tcPr>
          <w:p w14:paraId="4C613719" w14:textId="77777777" w:rsidR="00E3132B" w:rsidRPr="00232EBB" w:rsidRDefault="00E3132B" w:rsidP="0055368C">
            <w:pPr>
              <w:spacing w:after="0" w:line="240" w:lineRule="auto"/>
              <w:jc w:val="center"/>
              <w:rPr>
                <w:rFonts w:eastAsia="Calibri"/>
                <w:noProof/>
                <w:lang w:val="es-DO"/>
              </w:rPr>
            </w:pPr>
            <w:r w:rsidRPr="00232EBB">
              <w:rPr>
                <w:rFonts w:eastAsia="Calibri"/>
                <w:noProof/>
                <w:lang w:val="es-DO"/>
              </w:rPr>
              <w:t>11</w:t>
            </w:r>
          </w:p>
        </w:tc>
        <w:tc>
          <w:tcPr>
            <w:tcW w:w="667" w:type="pct"/>
            <w:tcBorders>
              <w:top w:val="nil"/>
              <w:left w:val="nil"/>
              <w:bottom w:val="single" w:sz="4" w:space="0" w:color="auto"/>
              <w:right w:val="single" w:sz="4" w:space="0" w:color="auto"/>
            </w:tcBorders>
            <w:noWrap/>
            <w:vAlign w:val="center"/>
            <w:hideMark/>
          </w:tcPr>
          <w:p w14:paraId="488B8B74" w14:textId="77777777" w:rsidR="00E3132B" w:rsidRPr="00232EBB" w:rsidRDefault="00E3132B" w:rsidP="0055368C">
            <w:pPr>
              <w:spacing w:after="0" w:line="240" w:lineRule="auto"/>
              <w:jc w:val="center"/>
              <w:rPr>
                <w:rFonts w:eastAsia="Calibri"/>
                <w:noProof/>
                <w:lang w:val="es-DO"/>
              </w:rPr>
            </w:pPr>
            <w:r w:rsidRPr="00232EBB">
              <w:rPr>
                <w:rFonts w:eastAsia="Calibri"/>
                <w:noProof/>
                <w:lang w:val="es-DO"/>
              </w:rPr>
              <w:t>1%</w:t>
            </w:r>
          </w:p>
        </w:tc>
      </w:tr>
      <w:tr w:rsidR="00E3132B" w:rsidRPr="00232EBB" w14:paraId="7E386D30" w14:textId="77777777" w:rsidTr="00E3132B">
        <w:trPr>
          <w:trHeight w:val="265"/>
          <w:jc w:val="center"/>
        </w:trPr>
        <w:tc>
          <w:tcPr>
            <w:tcW w:w="1102" w:type="pct"/>
            <w:tcBorders>
              <w:top w:val="nil"/>
              <w:left w:val="single" w:sz="4" w:space="0" w:color="auto"/>
              <w:bottom w:val="single" w:sz="4" w:space="0" w:color="auto"/>
              <w:right w:val="single" w:sz="4" w:space="0" w:color="auto"/>
            </w:tcBorders>
            <w:noWrap/>
            <w:vAlign w:val="bottom"/>
            <w:hideMark/>
          </w:tcPr>
          <w:p w14:paraId="23A02F87" w14:textId="77777777" w:rsidR="00E3132B" w:rsidRPr="00232EBB" w:rsidRDefault="00E3132B" w:rsidP="0055368C">
            <w:pPr>
              <w:spacing w:after="0" w:line="240" w:lineRule="auto"/>
              <w:rPr>
                <w:rFonts w:eastAsia="Calibri"/>
                <w:noProof/>
                <w:sz w:val="18"/>
                <w:szCs w:val="18"/>
                <w:lang w:val="es-DO"/>
              </w:rPr>
            </w:pPr>
            <w:r w:rsidRPr="00232EBB">
              <w:rPr>
                <w:rFonts w:eastAsia="Calibri"/>
                <w:noProof/>
                <w:sz w:val="18"/>
                <w:szCs w:val="18"/>
                <w:lang w:val="es-DO"/>
              </w:rPr>
              <w:t>Reclutamiento</w:t>
            </w:r>
          </w:p>
        </w:tc>
        <w:tc>
          <w:tcPr>
            <w:tcW w:w="614" w:type="pct"/>
            <w:tcBorders>
              <w:top w:val="nil"/>
              <w:left w:val="nil"/>
              <w:bottom w:val="single" w:sz="4" w:space="0" w:color="auto"/>
              <w:right w:val="single" w:sz="4" w:space="0" w:color="auto"/>
            </w:tcBorders>
            <w:noWrap/>
            <w:vAlign w:val="center"/>
            <w:hideMark/>
          </w:tcPr>
          <w:p w14:paraId="534C184C" w14:textId="77777777" w:rsidR="00E3132B" w:rsidRPr="00232EBB" w:rsidRDefault="00E3132B" w:rsidP="0055368C">
            <w:pPr>
              <w:spacing w:after="0" w:line="240" w:lineRule="auto"/>
              <w:jc w:val="center"/>
              <w:rPr>
                <w:rFonts w:eastAsia="Calibri"/>
                <w:noProof/>
                <w:lang w:val="es-DO"/>
              </w:rPr>
            </w:pPr>
          </w:p>
        </w:tc>
        <w:tc>
          <w:tcPr>
            <w:tcW w:w="598" w:type="pct"/>
            <w:tcBorders>
              <w:top w:val="nil"/>
              <w:left w:val="nil"/>
              <w:bottom w:val="single" w:sz="4" w:space="0" w:color="auto"/>
              <w:right w:val="single" w:sz="4" w:space="0" w:color="auto"/>
            </w:tcBorders>
            <w:noWrap/>
            <w:vAlign w:val="center"/>
            <w:hideMark/>
          </w:tcPr>
          <w:p w14:paraId="294CF5AD" w14:textId="77777777" w:rsidR="00E3132B" w:rsidRPr="00232EBB" w:rsidRDefault="00E3132B" w:rsidP="0055368C">
            <w:pPr>
              <w:spacing w:after="0" w:line="240" w:lineRule="auto"/>
              <w:jc w:val="center"/>
              <w:rPr>
                <w:rFonts w:eastAsia="Calibri"/>
                <w:noProof/>
                <w:lang w:val="es-DO"/>
              </w:rPr>
            </w:pPr>
            <w:r w:rsidRPr="00232EBB">
              <w:rPr>
                <w:rFonts w:eastAsia="Calibri"/>
                <w:noProof/>
                <w:lang w:val="es-DO"/>
              </w:rPr>
              <w:t>0%</w:t>
            </w:r>
          </w:p>
        </w:tc>
        <w:tc>
          <w:tcPr>
            <w:tcW w:w="831" w:type="pct"/>
            <w:tcBorders>
              <w:top w:val="nil"/>
              <w:left w:val="nil"/>
              <w:bottom w:val="single" w:sz="4" w:space="0" w:color="auto"/>
              <w:right w:val="single" w:sz="4" w:space="0" w:color="auto"/>
            </w:tcBorders>
            <w:noWrap/>
            <w:vAlign w:val="center"/>
            <w:hideMark/>
          </w:tcPr>
          <w:p w14:paraId="0879AE11" w14:textId="77777777" w:rsidR="00E3132B" w:rsidRPr="00232EBB" w:rsidRDefault="00E3132B" w:rsidP="0055368C">
            <w:pPr>
              <w:spacing w:after="0" w:line="240" w:lineRule="auto"/>
              <w:jc w:val="center"/>
              <w:rPr>
                <w:rFonts w:eastAsia="Calibri"/>
                <w:noProof/>
                <w:lang w:val="es-DO"/>
              </w:rPr>
            </w:pPr>
            <w:r w:rsidRPr="00232EBB">
              <w:rPr>
                <w:rFonts w:eastAsia="Calibri"/>
                <w:noProof/>
                <w:lang w:val="es-DO"/>
              </w:rPr>
              <w:t>1</w:t>
            </w:r>
          </w:p>
        </w:tc>
        <w:tc>
          <w:tcPr>
            <w:tcW w:w="689" w:type="pct"/>
            <w:tcBorders>
              <w:top w:val="nil"/>
              <w:left w:val="nil"/>
              <w:bottom w:val="single" w:sz="4" w:space="0" w:color="auto"/>
              <w:right w:val="single" w:sz="4" w:space="0" w:color="auto"/>
            </w:tcBorders>
            <w:noWrap/>
            <w:vAlign w:val="center"/>
            <w:hideMark/>
          </w:tcPr>
          <w:p w14:paraId="3F1768D7" w14:textId="77777777" w:rsidR="00E3132B" w:rsidRPr="00232EBB" w:rsidRDefault="00E3132B" w:rsidP="0055368C">
            <w:pPr>
              <w:spacing w:after="0" w:line="240" w:lineRule="auto"/>
              <w:jc w:val="center"/>
              <w:rPr>
                <w:rFonts w:eastAsia="Calibri"/>
                <w:noProof/>
                <w:lang w:val="es-DO"/>
              </w:rPr>
            </w:pPr>
            <w:r w:rsidRPr="00232EBB">
              <w:rPr>
                <w:rFonts w:eastAsia="Calibri"/>
                <w:noProof/>
                <w:lang w:val="es-DO"/>
              </w:rPr>
              <w:t>0%</w:t>
            </w:r>
          </w:p>
        </w:tc>
        <w:tc>
          <w:tcPr>
            <w:tcW w:w="499" w:type="pct"/>
            <w:tcBorders>
              <w:top w:val="nil"/>
              <w:left w:val="nil"/>
              <w:bottom w:val="single" w:sz="4" w:space="0" w:color="auto"/>
              <w:right w:val="single" w:sz="4" w:space="0" w:color="auto"/>
            </w:tcBorders>
            <w:noWrap/>
            <w:vAlign w:val="center"/>
            <w:hideMark/>
          </w:tcPr>
          <w:p w14:paraId="001DCF75" w14:textId="77777777" w:rsidR="00E3132B" w:rsidRPr="00232EBB" w:rsidRDefault="00E3132B" w:rsidP="0055368C">
            <w:pPr>
              <w:spacing w:after="0" w:line="240" w:lineRule="auto"/>
              <w:jc w:val="center"/>
              <w:rPr>
                <w:rFonts w:eastAsia="Calibri"/>
                <w:noProof/>
                <w:lang w:val="es-DO"/>
              </w:rPr>
            </w:pPr>
            <w:r w:rsidRPr="00232EBB">
              <w:rPr>
                <w:rFonts w:eastAsia="Calibri"/>
                <w:noProof/>
                <w:lang w:val="es-DO"/>
              </w:rPr>
              <w:t>1</w:t>
            </w:r>
          </w:p>
        </w:tc>
        <w:tc>
          <w:tcPr>
            <w:tcW w:w="667" w:type="pct"/>
            <w:tcBorders>
              <w:top w:val="nil"/>
              <w:left w:val="nil"/>
              <w:bottom w:val="single" w:sz="4" w:space="0" w:color="auto"/>
              <w:right w:val="single" w:sz="4" w:space="0" w:color="auto"/>
            </w:tcBorders>
            <w:noWrap/>
            <w:vAlign w:val="center"/>
            <w:hideMark/>
          </w:tcPr>
          <w:p w14:paraId="12AC7CB2" w14:textId="77777777" w:rsidR="00E3132B" w:rsidRPr="00232EBB" w:rsidRDefault="00E3132B" w:rsidP="0055368C">
            <w:pPr>
              <w:spacing w:after="0" w:line="240" w:lineRule="auto"/>
              <w:jc w:val="center"/>
              <w:rPr>
                <w:rFonts w:eastAsia="Calibri"/>
                <w:noProof/>
                <w:lang w:val="es-DO"/>
              </w:rPr>
            </w:pPr>
            <w:r w:rsidRPr="00232EBB">
              <w:rPr>
                <w:rFonts w:eastAsia="Calibri"/>
                <w:noProof/>
                <w:lang w:val="es-DO"/>
              </w:rPr>
              <w:t>0%</w:t>
            </w:r>
          </w:p>
        </w:tc>
      </w:tr>
      <w:tr w:rsidR="00E3132B" w:rsidRPr="00232EBB" w14:paraId="2A81BEA3" w14:textId="77777777" w:rsidTr="004E5D6E">
        <w:trPr>
          <w:trHeight w:val="386"/>
          <w:jc w:val="center"/>
        </w:trPr>
        <w:tc>
          <w:tcPr>
            <w:tcW w:w="1102" w:type="pct"/>
            <w:tcBorders>
              <w:top w:val="nil"/>
              <w:left w:val="single" w:sz="4" w:space="0" w:color="auto"/>
              <w:bottom w:val="single" w:sz="4" w:space="0" w:color="auto"/>
              <w:right w:val="single" w:sz="4" w:space="0" w:color="auto"/>
            </w:tcBorders>
            <w:shd w:val="clear" w:color="DDEBF7" w:fill="D0CECE"/>
            <w:noWrap/>
            <w:vAlign w:val="center"/>
            <w:hideMark/>
          </w:tcPr>
          <w:p w14:paraId="55C1BF4E" w14:textId="77777777" w:rsidR="00E3132B" w:rsidRPr="00232EBB" w:rsidRDefault="00E3132B" w:rsidP="0055368C">
            <w:pPr>
              <w:spacing w:after="0" w:line="240" w:lineRule="auto"/>
              <w:rPr>
                <w:rFonts w:eastAsia="Times New Roman"/>
                <w:b/>
                <w:color w:val="7F7F7F" w:themeColor="text1" w:themeTint="80"/>
                <w:spacing w:val="0"/>
                <w:sz w:val="20"/>
                <w:szCs w:val="20"/>
              </w:rPr>
            </w:pPr>
            <w:r w:rsidRPr="00232EBB">
              <w:rPr>
                <w:rFonts w:eastAsia="Times New Roman"/>
                <w:b/>
                <w:color w:val="7F7F7F" w:themeColor="text1" w:themeTint="80"/>
                <w:spacing w:val="0"/>
                <w:sz w:val="20"/>
                <w:szCs w:val="20"/>
              </w:rPr>
              <w:t>Total</w:t>
            </w:r>
          </w:p>
        </w:tc>
        <w:tc>
          <w:tcPr>
            <w:tcW w:w="614" w:type="pct"/>
            <w:tcBorders>
              <w:top w:val="nil"/>
              <w:left w:val="nil"/>
              <w:bottom w:val="single" w:sz="4" w:space="0" w:color="auto"/>
              <w:right w:val="single" w:sz="4" w:space="0" w:color="auto"/>
            </w:tcBorders>
            <w:shd w:val="clear" w:color="DDEBF7" w:fill="D0CECE"/>
            <w:noWrap/>
            <w:vAlign w:val="center"/>
            <w:hideMark/>
          </w:tcPr>
          <w:p w14:paraId="04D502E8" w14:textId="77777777" w:rsidR="00E3132B" w:rsidRPr="00232EBB" w:rsidRDefault="00E3132B" w:rsidP="0055368C">
            <w:pPr>
              <w:spacing w:after="0" w:line="240" w:lineRule="auto"/>
              <w:jc w:val="center"/>
              <w:rPr>
                <w:rFonts w:eastAsia="Times New Roman"/>
                <w:b/>
                <w:color w:val="7F7F7F" w:themeColor="text1" w:themeTint="80"/>
                <w:spacing w:val="0"/>
                <w:sz w:val="20"/>
                <w:szCs w:val="20"/>
              </w:rPr>
            </w:pPr>
            <w:r w:rsidRPr="00232EBB">
              <w:rPr>
                <w:rFonts w:eastAsia="Times New Roman"/>
                <w:b/>
                <w:color w:val="7F7F7F" w:themeColor="text1" w:themeTint="80"/>
                <w:spacing w:val="0"/>
                <w:sz w:val="20"/>
                <w:szCs w:val="20"/>
              </w:rPr>
              <w:t>711</w:t>
            </w:r>
          </w:p>
        </w:tc>
        <w:tc>
          <w:tcPr>
            <w:tcW w:w="598" w:type="pct"/>
            <w:tcBorders>
              <w:top w:val="nil"/>
              <w:left w:val="nil"/>
              <w:bottom w:val="single" w:sz="4" w:space="0" w:color="auto"/>
              <w:right w:val="single" w:sz="4" w:space="0" w:color="auto"/>
            </w:tcBorders>
            <w:shd w:val="clear" w:color="DDEBF7" w:fill="D0CECE"/>
            <w:noWrap/>
            <w:vAlign w:val="center"/>
            <w:hideMark/>
          </w:tcPr>
          <w:p w14:paraId="7ADD4383" w14:textId="77777777" w:rsidR="00E3132B" w:rsidRPr="00232EBB" w:rsidRDefault="00E3132B" w:rsidP="0055368C">
            <w:pPr>
              <w:spacing w:after="0" w:line="240" w:lineRule="auto"/>
              <w:jc w:val="center"/>
              <w:rPr>
                <w:rFonts w:eastAsia="Times New Roman"/>
                <w:b/>
                <w:color w:val="7F7F7F" w:themeColor="text1" w:themeTint="80"/>
                <w:spacing w:val="0"/>
                <w:sz w:val="20"/>
                <w:szCs w:val="20"/>
              </w:rPr>
            </w:pPr>
            <w:r w:rsidRPr="00232EBB">
              <w:rPr>
                <w:rFonts w:eastAsia="Times New Roman"/>
                <w:b/>
                <w:color w:val="7F7F7F" w:themeColor="text1" w:themeTint="80"/>
                <w:spacing w:val="0"/>
                <w:sz w:val="20"/>
                <w:szCs w:val="20"/>
              </w:rPr>
              <w:t>100%</w:t>
            </w:r>
          </w:p>
        </w:tc>
        <w:tc>
          <w:tcPr>
            <w:tcW w:w="831" w:type="pct"/>
            <w:tcBorders>
              <w:top w:val="nil"/>
              <w:left w:val="nil"/>
              <w:bottom w:val="single" w:sz="4" w:space="0" w:color="auto"/>
              <w:right w:val="single" w:sz="4" w:space="0" w:color="auto"/>
            </w:tcBorders>
            <w:shd w:val="clear" w:color="DDEBF7" w:fill="D0CECE"/>
            <w:noWrap/>
            <w:vAlign w:val="center"/>
            <w:hideMark/>
          </w:tcPr>
          <w:p w14:paraId="1573F280" w14:textId="77777777" w:rsidR="00E3132B" w:rsidRPr="00232EBB" w:rsidRDefault="00E3132B" w:rsidP="0055368C">
            <w:pPr>
              <w:spacing w:after="0" w:line="240" w:lineRule="auto"/>
              <w:jc w:val="center"/>
              <w:rPr>
                <w:rFonts w:eastAsia="Times New Roman"/>
                <w:b/>
                <w:color w:val="7F7F7F" w:themeColor="text1" w:themeTint="80"/>
                <w:spacing w:val="0"/>
                <w:sz w:val="20"/>
                <w:szCs w:val="20"/>
              </w:rPr>
            </w:pPr>
            <w:r w:rsidRPr="00232EBB">
              <w:rPr>
                <w:rFonts w:eastAsia="Times New Roman"/>
                <w:b/>
                <w:color w:val="7F7F7F" w:themeColor="text1" w:themeTint="80"/>
                <w:spacing w:val="0"/>
                <w:sz w:val="20"/>
                <w:szCs w:val="20"/>
              </w:rPr>
              <w:t>328</w:t>
            </w:r>
          </w:p>
        </w:tc>
        <w:tc>
          <w:tcPr>
            <w:tcW w:w="689" w:type="pct"/>
            <w:tcBorders>
              <w:top w:val="nil"/>
              <w:left w:val="nil"/>
              <w:bottom w:val="single" w:sz="4" w:space="0" w:color="auto"/>
              <w:right w:val="single" w:sz="4" w:space="0" w:color="auto"/>
            </w:tcBorders>
            <w:shd w:val="clear" w:color="DDEBF7" w:fill="D0CECE"/>
            <w:noWrap/>
            <w:vAlign w:val="center"/>
            <w:hideMark/>
          </w:tcPr>
          <w:p w14:paraId="1C2AE05C" w14:textId="77777777" w:rsidR="00E3132B" w:rsidRPr="00232EBB" w:rsidRDefault="00E3132B" w:rsidP="0055368C">
            <w:pPr>
              <w:spacing w:after="0" w:line="240" w:lineRule="auto"/>
              <w:jc w:val="center"/>
              <w:rPr>
                <w:rFonts w:eastAsia="Times New Roman"/>
                <w:b/>
                <w:color w:val="7F7F7F" w:themeColor="text1" w:themeTint="80"/>
                <w:spacing w:val="0"/>
                <w:sz w:val="20"/>
                <w:szCs w:val="20"/>
              </w:rPr>
            </w:pPr>
            <w:r w:rsidRPr="00232EBB">
              <w:rPr>
                <w:rFonts w:eastAsia="Times New Roman"/>
                <w:b/>
                <w:color w:val="7F7F7F" w:themeColor="text1" w:themeTint="80"/>
                <w:spacing w:val="0"/>
                <w:sz w:val="20"/>
                <w:szCs w:val="20"/>
              </w:rPr>
              <w:t>100%</w:t>
            </w:r>
          </w:p>
        </w:tc>
        <w:tc>
          <w:tcPr>
            <w:tcW w:w="499" w:type="pct"/>
            <w:tcBorders>
              <w:top w:val="nil"/>
              <w:left w:val="nil"/>
              <w:bottom w:val="single" w:sz="4" w:space="0" w:color="auto"/>
              <w:right w:val="single" w:sz="4" w:space="0" w:color="auto"/>
            </w:tcBorders>
            <w:shd w:val="clear" w:color="DDEBF7" w:fill="D0CECE"/>
            <w:noWrap/>
            <w:vAlign w:val="center"/>
            <w:hideMark/>
          </w:tcPr>
          <w:p w14:paraId="33EDE451" w14:textId="77777777" w:rsidR="00E3132B" w:rsidRPr="00232EBB" w:rsidRDefault="00E3132B" w:rsidP="0055368C">
            <w:pPr>
              <w:spacing w:after="0" w:line="240" w:lineRule="auto"/>
              <w:jc w:val="center"/>
              <w:rPr>
                <w:rFonts w:eastAsia="Times New Roman"/>
                <w:b/>
                <w:color w:val="7F7F7F" w:themeColor="text1" w:themeTint="80"/>
                <w:spacing w:val="0"/>
                <w:sz w:val="20"/>
                <w:szCs w:val="20"/>
              </w:rPr>
            </w:pPr>
            <w:r w:rsidRPr="00232EBB">
              <w:rPr>
                <w:rFonts w:eastAsia="Times New Roman"/>
                <w:b/>
                <w:color w:val="7F7F7F" w:themeColor="text1" w:themeTint="80"/>
                <w:spacing w:val="0"/>
                <w:sz w:val="20"/>
                <w:szCs w:val="20"/>
              </w:rPr>
              <w:t>1039</w:t>
            </w:r>
          </w:p>
        </w:tc>
        <w:tc>
          <w:tcPr>
            <w:tcW w:w="667" w:type="pct"/>
            <w:tcBorders>
              <w:top w:val="nil"/>
              <w:left w:val="nil"/>
              <w:bottom w:val="single" w:sz="4" w:space="0" w:color="auto"/>
              <w:right w:val="single" w:sz="4" w:space="0" w:color="auto"/>
            </w:tcBorders>
            <w:shd w:val="clear" w:color="DDEBF7" w:fill="D0CECE"/>
            <w:noWrap/>
            <w:vAlign w:val="center"/>
            <w:hideMark/>
          </w:tcPr>
          <w:p w14:paraId="485CC86C" w14:textId="77777777" w:rsidR="00E3132B" w:rsidRPr="00232EBB" w:rsidRDefault="00E3132B" w:rsidP="0055368C">
            <w:pPr>
              <w:spacing w:after="0" w:line="240" w:lineRule="auto"/>
              <w:jc w:val="center"/>
              <w:rPr>
                <w:rFonts w:eastAsia="Times New Roman"/>
                <w:b/>
                <w:color w:val="7F7F7F" w:themeColor="text1" w:themeTint="80"/>
                <w:spacing w:val="0"/>
                <w:sz w:val="20"/>
                <w:szCs w:val="20"/>
              </w:rPr>
            </w:pPr>
            <w:r w:rsidRPr="00232EBB">
              <w:rPr>
                <w:rFonts w:eastAsia="Times New Roman"/>
                <w:b/>
                <w:color w:val="7F7F7F" w:themeColor="text1" w:themeTint="80"/>
                <w:spacing w:val="0"/>
                <w:sz w:val="20"/>
                <w:szCs w:val="20"/>
              </w:rPr>
              <w:t>100%</w:t>
            </w:r>
          </w:p>
        </w:tc>
      </w:tr>
    </w:tbl>
    <w:p w14:paraId="6A75888B" w14:textId="77777777" w:rsidR="00097B97" w:rsidRPr="00232EBB" w:rsidRDefault="00097B97" w:rsidP="00097B97">
      <w:pPr>
        <w:spacing w:after="0" w:line="360" w:lineRule="auto"/>
        <w:rPr>
          <w:b/>
          <w:bCs/>
          <w:sz w:val="18"/>
          <w:szCs w:val="18"/>
          <w:lang w:val="es-DO"/>
        </w:rPr>
      </w:pPr>
    </w:p>
    <w:p w14:paraId="5FF4DB03" w14:textId="793AECF4" w:rsidR="00097B97" w:rsidRPr="00232EBB" w:rsidRDefault="00E314FC" w:rsidP="00097B97">
      <w:pPr>
        <w:spacing w:after="0" w:line="360" w:lineRule="auto"/>
        <w:rPr>
          <w:sz w:val="18"/>
          <w:szCs w:val="18"/>
          <w:lang w:val="es-DO"/>
        </w:rPr>
      </w:pPr>
      <w:r w:rsidRPr="00232EBB">
        <w:rPr>
          <w:b/>
          <w:bCs/>
          <w:sz w:val="18"/>
          <w:szCs w:val="18"/>
          <w:lang w:val="es-DO"/>
        </w:rPr>
        <w:t>Tabla</w:t>
      </w:r>
      <w:r w:rsidR="00DC4778" w:rsidRPr="00232EBB">
        <w:rPr>
          <w:b/>
          <w:bCs/>
          <w:sz w:val="18"/>
          <w:szCs w:val="18"/>
          <w:lang w:val="es-DO"/>
        </w:rPr>
        <w:t xml:space="preserve"> 2</w:t>
      </w:r>
      <w:r w:rsidR="00E27BAB">
        <w:rPr>
          <w:b/>
          <w:bCs/>
          <w:sz w:val="18"/>
          <w:szCs w:val="18"/>
          <w:lang w:val="es-DO"/>
        </w:rPr>
        <w:t>3</w:t>
      </w:r>
      <w:r w:rsidR="00097B97" w:rsidRPr="00232EBB">
        <w:rPr>
          <w:b/>
          <w:bCs/>
          <w:sz w:val="18"/>
          <w:szCs w:val="18"/>
          <w:lang w:val="es-DO"/>
        </w:rPr>
        <w:t>:</w:t>
      </w:r>
      <w:r w:rsidRPr="00232EBB">
        <w:rPr>
          <w:b/>
          <w:bCs/>
          <w:sz w:val="18"/>
          <w:szCs w:val="18"/>
          <w:lang w:val="es-DO"/>
        </w:rPr>
        <w:t xml:space="preserve"> </w:t>
      </w:r>
      <w:r w:rsidRPr="00232EBB">
        <w:rPr>
          <w:sz w:val="18"/>
          <w:szCs w:val="18"/>
          <w:lang w:val="es-DO"/>
        </w:rPr>
        <w:t>Calificación</w:t>
      </w:r>
      <w:r w:rsidR="00097B97" w:rsidRPr="00232EBB">
        <w:rPr>
          <w:b/>
          <w:bCs/>
          <w:sz w:val="18"/>
          <w:szCs w:val="18"/>
          <w:lang w:val="es-DO"/>
        </w:rPr>
        <w:t xml:space="preserve"> </w:t>
      </w:r>
      <w:r w:rsidR="00097B97" w:rsidRPr="00232EBB">
        <w:rPr>
          <w:sz w:val="18"/>
          <w:szCs w:val="18"/>
          <w:lang w:val="es-DO"/>
        </w:rPr>
        <w:t>Quejas y Sugerencias Enero- diciembre 2025</w:t>
      </w:r>
    </w:p>
    <w:p w14:paraId="4E7B402A" w14:textId="77777777" w:rsidR="00E3132B" w:rsidRPr="00232EBB" w:rsidRDefault="00E3132B" w:rsidP="00E3132B">
      <w:pPr>
        <w:jc w:val="both"/>
        <w:rPr>
          <w:szCs w:val="36"/>
          <w:lang w:val="es-DO"/>
        </w:rPr>
      </w:pPr>
    </w:p>
    <w:p w14:paraId="69597A00" w14:textId="77777777" w:rsidR="00E3132B" w:rsidRPr="00232EBB" w:rsidRDefault="00E3132B" w:rsidP="00E3132B">
      <w:pPr>
        <w:spacing w:line="360" w:lineRule="auto"/>
        <w:jc w:val="both"/>
        <w:rPr>
          <w:lang w:val="es-DO"/>
        </w:rPr>
      </w:pPr>
      <w:r w:rsidRPr="00232EBB">
        <w:rPr>
          <w:rFonts w:eastAsia="Calibri"/>
          <w:noProof/>
          <w:lang w:val="es-DO"/>
        </w:rPr>
        <w:t>Las quejas más recurrentes son, tiempo en espera con 23%, comunicación con un 19%, mejora de procesos con un 16%, tiempo de respuesta de 9% y servicio ofrecido un 6%.  En estas categorías se representa el 74% del total de las quejas recibidas. En cuanto a las sugerencias, la más recurrentes es la mejora de procesos con un 44%, comunicación con un 12%, accesibilidad con un 10%, mejoras en el SUIR con un 9% en esta categoría constituye el 75% del total de las sugerencias recibidas.</w:t>
      </w:r>
    </w:p>
    <w:p w14:paraId="50761254" w14:textId="77777777" w:rsidR="00E3132B" w:rsidRPr="00232EBB" w:rsidRDefault="00E3132B" w:rsidP="00E3132B">
      <w:pPr>
        <w:spacing w:line="360" w:lineRule="auto"/>
        <w:jc w:val="both"/>
        <w:rPr>
          <w:rFonts w:eastAsia="Calibri"/>
          <w:b/>
          <w:bCs/>
          <w:noProof/>
          <w:lang w:val="es-DO"/>
        </w:rPr>
      </w:pPr>
      <w:r w:rsidRPr="00232EBB">
        <w:rPr>
          <w:rFonts w:eastAsia="Calibri"/>
          <w:b/>
          <w:bCs/>
          <w:noProof/>
          <w:lang w:val="es-DO"/>
        </w:rPr>
        <w:t>Celebración de la Semana de la Calidad Institucional</w:t>
      </w:r>
    </w:p>
    <w:p w14:paraId="5CAA0033" w14:textId="77777777" w:rsidR="00E3132B" w:rsidRPr="00232EBB" w:rsidRDefault="00E3132B" w:rsidP="00410297">
      <w:pPr>
        <w:spacing w:line="360" w:lineRule="auto"/>
        <w:jc w:val="both"/>
        <w:rPr>
          <w:rFonts w:eastAsia="Calibri"/>
          <w:noProof/>
          <w:lang w:val="es-DO"/>
        </w:rPr>
      </w:pPr>
      <w:r w:rsidRPr="00232EBB">
        <w:rPr>
          <w:rFonts w:eastAsia="Calibri"/>
          <w:noProof/>
          <w:lang w:val="es-DO"/>
        </w:rPr>
        <w:t xml:space="preserve">Durante la Semana de la Calidad, destacamos el papel fundamental de nuestros colaboradores en la construcción de una cultura orientada a la calidad y excelencia. Como parte de esta celebración, remitimos Mailing informativos recordando la importancia a todos los colaboradores sobre la gestión documental y su importancia en el ámbito de la calidad. Esta iniciativa está alineada con los enfoque </w:t>
      </w:r>
      <w:r w:rsidRPr="00232EBB">
        <w:rPr>
          <w:rFonts w:eastAsia="Calibri"/>
          <w:noProof/>
          <w:lang w:val="es-DO"/>
        </w:rPr>
        <w:lastRenderedPageBreak/>
        <w:t>definido en nuestro Plan Estratégico Institucional 2025-2028, reafirmando nuestro compromiso de avanzar juntos hacia la excelencia y de consolidar la calidad como un pilar esencial en todas nuestras acciones.</w:t>
      </w:r>
    </w:p>
    <w:p w14:paraId="0F57A733" w14:textId="103A8E77" w:rsidR="00E3132B" w:rsidRPr="00232EBB" w:rsidRDefault="00E3132B" w:rsidP="00410297">
      <w:pPr>
        <w:spacing w:line="360" w:lineRule="auto"/>
        <w:jc w:val="both"/>
        <w:rPr>
          <w:rFonts w:eastAsia="Calibri"/>
          <w:b/>
          <w:bCs/>
          <w:noProof/>
          <w:lang w:val="es-DO"/>
        </w:rPr>
      </w:pPr>
      <w:r w:rsidRPr="00232EBB">
        <w:rPr>
          <w:rFonts w:eastAsia="Calibri"/>
          <w:b/>
          <w:bCs/>
          <w:noProof/>
          <w:lang w:val="es-DO"/>
        </w:rPr>
        <w:t>Sistema de Gestión Integrado</w:t>
      </w:r>
    </w:p>
    <w:p w14:paraId="30B5FA3D" w14:textId="77777777" w:rsidR="00E3132B" w:rsidRPr="00232EBB" w:rsidRDefault="00E3132B" w:rsidP="00E3132B">
      <w:pPr>
        <w:spacing w:line="360" w:lineRule="auto"/>
        <w:jc w:val="both"/>
        <w:rPr>
          <w:lang w:val="es-ES"/>
        </w:rPr>
      </w:pPr>
      <w:r w:rsidRPr="00232EBB">
        <w:rPr>
          <w:lang w:val="es-ES"/>
        </w:rPr>
        <w:t>Durante el año 2025 actualizamos nuestra Política del Sistema de Gestión Integrado, incorporando la prohibición explícita del soborno y promoviendo una cultura de cumplimiento normativo, en alineación con la implementación de las normas ISO 37001 (Sistema de Gestión Antisoborno) e ISO 37301 (Sistema de Gestión de Cumplimiento).</w:t>
      </w:r>
    </w:p>
    <w:p w14:paraId="504DBE2A" w14:textId="77777777" w:rsidR="00E3132B" w:rsidRPr="00232EBB" w:rsidRDefault="00E3132B" w:rsidP="00E3132B">
      <w:pPr>
        <w:spacing w:line="360" w:lineRule="auto"/>
        <w:jc w:val="both"/>
        <w:rPr>
          <w:lang w:val="es-ES"/>
        </w:rPr>
      </w:pPr>
      <w:r w:rsidRPr="00232EBB">
        <w:rPr>
          <w:noProof/>
        </w:rPr>
        <w:drawing>
          <wp:inline distT="0" distB="0" distL="0" distR="0" wp14:anchorId="68A2951B" wp14:editId="4A0608F2">
            <wp:extent cx="4495479" cy="4094328"/>
            <wp:effectExtent l="0" t="0" r="635" b="1905"/>
            <wp:docPr id="1187058258"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058258" name="Imagen 1" descr="Interfaz de usuario gráfica, Texto, Aplicación&#10;&#10;El contenido generado por IA puede ser incorrecto."/>
                    <pic:cNvPicPr/>
                  </pic:nvPicPr>
                  <pic:blipFill>
                    <a:blip r:embed="rId54"/>
                    <a:stretch>
                      <a:fillRect/>
                    </a:stretch>
                  </pic:blipFill>
                  <pic:spPr>
                    <a:xfrm>
                      <a:off x="0" y="0"/>
                      <a:ext cx="4506787" cy="4104627"/>
                    </a:xfrm>
                    <a:prstGeom prst="rect">
                      <a:avLst/>
                    </a:prstGeom>
                  </pic:spPr>
                </pic:pic>
              </a:graphicData>
            </a:graphic>
          </wp:inline>
        </w:drawing>
      </w:r>
    </w:p>
    <w:p w14:paraId="14DA7D58" w14:textId="55A75201" w:rsidR="00E14CB6" w:rsidRPr="00232EBB" w:rsidRDefault="00E14CB6" w:rsidP="00E3132B">
      <w:pPr>
        <w:spacing w:line="360" w:lineRule="auto"/>
        <w:jc w:val="both"/>
        <w:rPr>
          <w:sz w:val="18"/>
          <w:szCs w:val="18"/>
          <w:lang w:val="es-ES"/>
        </w:rPr>
      </w:pPr>
      <w:r w:rsidRPr="00232EBB">
        <w:rPr>
          <w:b/>
          <w:bCs/>
          <w:sz w:val="18"/>
          <w:szCs w:val="18"/>
          <w:lang w:val="es-ES"/>
        </w:rPr>
        <w:t>Imagen 4</w:t>
      </w:r>
      <w:r w:rsidRPr="00232EBB">
        <w:rPr>
          <w:sz w:val="18"/>
          <w:szCs w:val="18"/>
          <w:lang w:val="es-ES"/>
        </w:rPr>
        <w:t>: Política SGI</w:t>
      </w:r>
    </w:p>
    <w:p w14:paraId="51854073" w14:textId="77777777" w:rsidR="00E3132B" w:rsidRPr="00232EBB" w:rsidRDefault="00E3132B" w:rsidP="00E3132B">
      <w:pPr>
        <w:tabs>
          <w:tab w:val="left" w:pos="6450"/>
        </w:tabs>
        <w:spacing w:line="360" w:lineRule="auto"/>
        <w:jc w:val="both"/>
        <w:rPr>
          <w:rFonts w:eastAsiaTheme="majorEastAsia"/>
          <w:b/>
          <w:color w:val="767171" w:themeColor="background2" w:themeShade="80"/>
          <w:spacing w:val="0"/>
          <w:sz w:val="28"/>
          <w:szCs w:val="32"/>
          <w:lang w:val="es-DO"/>
        </w:rPr>
      </w:pPr>
      <w:r w:rsidRPr="00232EBB">
        <w:rPr>
          <w:lang w:val="es-ES"/>
        </w:rPr>
        <w:t>Hemos cumplido los objetivos propuestos para el Sistema de Gestión Integrado 2025.</w:t>
      </w:r>
      <w:r w:rsidRPr="00232EBB">
        <w:rPr>
          <w:rFonts w:eastAsiaTheme="majorEastAsia"/>
          <w:b/>
          <w:color w:val="767171" w:themeColor="background2" w:themeShade="80"/>
          <w:spacing w:val="0"/>
          <w:sz w:val="28"/>
          <w:szCs w:val="32"/>
          <w:lang w:val="es-DO"/>
        </w:rPr>
        <w:tab/>
      </w:r>
    </w:p>
    <w:tbl>
      <w:tblPr>
        <w:tblW w:w="8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810"/>
        <w:gridCol w:w="953"/>
        <w:gridCol w:w="953"/>
        <w:gridCol w:w="974"/>
        <w:gridCol w:w="810"/>
      </w:tblGrid>
      <w:tr w:rsidR="00E3132B" w:rsidRPr="00232EBB" w14:paraId="1D9F6F06" w14:textId="77777777" w:rsidTr="00747056">
        <w:trPr>
          <w:trHeight w:val="19"/>
          <w:tblHeader/>
          <w:jc w:val="center"/>
        </w:trPr>
        <w:tc>
          <w:tcPr>
            <w:tcW w:w="3685" w:type="dxa"/>
            <w:shd w:val="clear" w:color="auto" w:fill="1F3864" w:themeFill="accent1" w:themeFillShade="80"/>
            <w:noWrap/>
            <w:vAlign w:val="center"/>
            <w:hideMark/>
          </w:tcPr>
          <w:p w14:paraId="00066AE6" w14:textId="77777777" w:rsidR="00E3132B" w:rsidRPr="00232EBB" w:rsidRDefault="00E3132B" w:rsidP="0055368C">
            <w:pPr>
              <w:spacing w:line="240" w:lineRule="auto"/>
              <w:jc w:val="both"/>
              <w:rPr>
                <w:b/>
                <w:bCs/>
                <w:color w:val="FFFFFF" w:themeColor="background1"/>
                <w:sz w:val="20"/>
                <w:szCs w:val="20"/>
                <w:lang w:val="es-ES"/>
              </w:rPr>
            </w:pPr>
            <w:r w:rsidRPr="00232EBB">
              <w:rPr>
                <w:b/>
                <w:bCs/>
                <w:color w:val="FFFFFF" w:themeColor="background1"/>
                <w:sz w:val="20"/>
                <w:szCs w:val="20"/>
                <w:lang w:val="es-ES"/>
              </w:rPr>
              <w:lastRenderedPageBreak/>
              <w:t>Objetivos Sistema de Gestión Integrado</w:t>
            </w:r>
          </w:p>
        </w:tc>
        <w:tc>
          <w:tcPr>
            <w:tcW w:w="810" w:type="dxa"/>
            <w:shd w:val="clear" w:color="auto" w:fill="1F3864" w:themeFill="accent1" w:themeFillShade="80"/>
            <w:noWrap/>
            <w:vAlign w:val="center"/>
            <w:hideMark/>
          </w:tcPr>
          <w:p w14:paraId="113FBB58" w14:textId="77777777" w:rsidR="00E3132B" w:rsidRPr="00232EBB" w:rsidRDefault="00E3132B" w:rsidP="0055368C">
            <w:pPr>
              <w:spacing w:line="240" w:lineRule="auto"/>
              <w:jc w:val="both"/>
              <w:rPr>
                <w:b/>
                <w:bCs/>
                <w:color w:val="FFFFFF" w:themeColor="background1"/>
                <w:sz w:val="20"/>
                <w:szCs w:val="20"/>
                <w:lang w:val="es-ES"/>
              </w:rPr>
            </w:pPr>
            <w:r w:rsidRPr="00232EBB">
              <w:rPr>
                <w:b/>
                <w:bCs/>
                <w:color w:val="FFFFFF" w:themeColor="background1"/>
                <w:sz w:val="20"/>
                <w:szCs w:val="20"/>
                <w:lang w:val="es-ES"/>
              </w:rPr>
              <w:t>Meta</w:t>
            </w:r>
          </w:p>
        </w:tc>
        <w:tc>
          <w:tcPr>
            <w:tcW w:w="953" w:type="dxa"/>
            <w:shd w:val="clear" w:color="auto" w:fill="1F3864" w:themeFill="accent1" w:themeFillShade="80"/>
            <w:noWrap/>
            <w:vAlign w:val="center"/>
          </w:tcPr>
          <w:p w14:paraId="5502E4E1" w14:textId="77777777" w:rsidR="00E3132B" w:rsidRPr="00232EBB" w:rsidRDefault="00E3132B" w:rsidP="0055368C">
            <w:pPr>
              <w:spacing w:line="240" w:lineRule="auto"/>
              <w:jc w:val="center"/>
              <w:rPr>
                <w:b/>
                <w:bCs/>
                <w:color w:val="FFFFFF" w:themeColor="background1"/>
                <w:sz w:val="20"/>
                <w:szCs w:val="20"/>
                <w:lang w:val="es-ES"/>
              </w:rPr>
            </w:pPr>
            <w:r w:rsidRPr="00232EBB">
              <w:rPr>
                <w:b/>
                <w:bCs/>
                <w:color w:val="FFFFFF" w:themeColor="background1"/>
                <w:sz w:val="20"/>
                <w:szCs w:val="20"/>
                <w:lang w:val="es-ES"/>
              </w:rPr>
              <w:t>T1</w:t>
            </w:r>
          </w:p>
        </w:tc>
        <w:tc>
          <w:tcPr>
            <w:tcW w:w="953" w:type="dxa"/>
            <w:shd w:val="clear" w:color="auto" w:fill="1F3864" w:themeFill="accent1" w:themeFillShade="80"/>
            <w:vAlign w:val="center"/>
          </w:tcPr>
          <w:p w14:paraId="6B135EED" w14:textId="77777777" w:rsidR="00E3132B" w:rsidRPr="00232EBB" w:rsidRDefault="00E3132B" w:rsidP="0055368C">
            <w:pPr>
              <w:spacing w:line="240" w:lineRule="auto"/>
              <w:jc w:val="center"/>
              <w:rPr>
                <w:b/>
                <w:bCs/>
                <w:color w:val="FFFFFF" w:themeColor="background1"/>
                <w:sz w:val="20"/>
                <w:szCs w:val="20"/>
                <w:lang w:val="es-ES"/>
              </w:rPr>
            </w:pPr>
            <w:r w:rsidRPr="00232EBB">
              <w:rPr>
                <w:b/>
                <w:bCs/>
                <w:color w:val="FFFFFF" w:themeColor="background1"/>
                <w:sz w:val="20"/>
                <w:szCs w:val="20"/>
                <w:lang w:val="es-ES"/>
              </w:rPr>
              <w:t>T2</w:t>
            </w:r>
          </w:p>
        </w:tc>
        <w:tc>
          <w:tcPr>
            <w:tcW w:w="974" w:type="dxa"/>
            <w:shd w:val="clear" w:color="auto" w:fill="1F3864" w:themeFill="accent1" w:themeFillShade="80"/>
            <w:vAlign w:val="center"/>
          </w:tcPr>
          <w:p w14:paraId="612D93E5" w14:textId="77777777" w:rsidR="00E3132B" w:rsidRPr="00232EBB" w:rsidRDefault="00E3132B" w:rsidP="0055368C">
            <w:pPr>
              <w:spacing w:line="240" w:lineRule="auto"/>
              <w:jc w:val="center"/>
              <w:rPr>
                <w:b/>
                <w:bCs/>
                <w:color w:val="FFFFFF" w:themeColor="background1"/>
                <w:sz w:val="20"/>
                <w:szCs w:val="20"/>
                <w:lang w:val="es-ES"/>
              </w:rPr>
            </w:pPr>
            <w:r w:rsidRPr="00232EBB">
              <w:rPr>
                <w:b/>
                <w:bCs/>
                <w:color w:val="FFFFFF" w:themeColor="background1"/>
                <w:sz w:val="20"/>
                <w:szCs w:val="20"/>
                <w:lang w:val="es-ES"/>
              </w:rPr>
              <w:t>T3</w:t>
            </w:r>
          </w:p>
        </w:tc>
        <w:tc>
          <w:tcPr>
            <w:tcW w:w="810" w:type="dxa"/>
            <w:shd w:val="clear" w:color="auto" w:fill="1F3864" w:themeFill="accent1" w:themeFillShade="80"/>
            <w:vAlign w:val="center"/>
          </w:tcPr>
          <w:p w14:paraId="2C8FA450" w14:textId="77777777" w:rsidR="00E3132B" w:rsidRPr="00232EBB" w:rsidRDefault="00E3132B" w:rsidP="0055368C">
            <w:pPr>
              <w:spacing w:line="240" w:lineRule="auto"/>
              <w:jc w:val="center"/>
              <w:rPr>
                <w:b/>
                <w:bCs/>
                <w:color w:val="FFFFFF" w:themeColor="background1"/>
                <w:sz w:val="20"/>
                <w:szCs w:val="20"/>
                <w:lang w:val="es-ES"/>
              </w:rPr>
            </w:pPr>
            <w:r w:rsidRPr="00232EBB">
              <w:rPr>
                <w:b/>
                <w:bCs/>
                <w:color w:val="FFFFFF" w:themeColor="background1"/>
                <w:sz w:val="20"/>
                <w:szCs w:val="20"/>
                <w:lang w:val="es-ES"/>
              </w:rPr>
              <w:t>T4</w:t>
            </w:r>
          </w:p>
        </w:tc>
      </w:tr>
      <w:tr w:rsidR="00E3132B" w:rsidRPr="00232EBB" w14:paraId="0CDF6221" w14:textId="77777777" w:rsidTr="008B5B92">
        <w:trPr>
          <w:trHeight w:val="19"/>
          <w:jc w:val="center"/>
        </w:trPr>
        <w:tc>
          <w:tcPr>
            <w:tcW w:w="3685" w:type="dxa"/>
            <w:noWrap/>
            <w:vAlign w:val="center"/>
            <w:hideMark/>
          </w:tcPr>
          <w:p w14:paraId="08730A7B" w14:textId="77777777" w:rsidR="00E3132B" w:rsidRPr="00232EBB" w:rsidRDefault="00E3132B" w:rsidP="0055368C">
            <w:pPr>
              <w:spacing w:line="240" w:lineRule="auto"/>
              <w:jc w:val="both"/>
              <w:rPr>
                <w:sz w:val="20"/>
                <w:szCs w:val="20"/>
                <w:lang w:val="es-ES"/>
              </w:rPr>
            </w:pPr>
            <w:r w:rsidRPr="00232EBB">
              <w:rPr>
                <w:sz w:val="20"/>
                <w:szCs w:val="20"/>
                <w:lang w:val="es-ES"/>
              </w:rPr>
              <w:t>Obtener al menos un 93% en las encuestas de Satisfacción de los Servicios Brindados</w:t>
            </w:r>
          </w:p>
        </w:tc>
        <w:tc>
          <w:tcPr>
            <w:tcW w:w="810" w:type="dxa"/>
            <w:noWrap/>
            <w:vAlign w:val="center"/>
            <w:hideMark/>
          </w:tcPr>
          <w:p w14:paraId="4065C73B" w14:textId="77777777" w:rsidR="00E3132B" w:rsidRPr="00232EBB" w:rsidRDefault="00E3132B" w:rsidP="0055368C">
            <w:pPr>
              <w:spacing w:line="240" w:lineRule="auto"/>
              <w:jc w:val="both"/>
              <w:rPr>
                <w:sz w:val="20"/>
                <w:szCs w:val="20"/>
                <w:lang w:val="es-ES"/>
              </w:rPr>
            </w:pPr>
            <w:r w:rsidRPr="00232EBB">
              <w:rPr>
                <w:sz w:val="20"/>
                <w:szCs w:val="20"/>
                <w:lang w:val="es-ES"/>
              </w:rPr>
              <w:t>93%</w:t>
            </w:r>
          </w:p>
        </w:tc>
        <w:tc>
          <w:tcPr>
            <w:tcW w:w="953" w:type="dxa"/>
            <w:noWrap/>
            <w:vAlign w:val="center"/>
            <w:hideMark/>
          </w:tcPr>
          <w:p w14:paraId="1B990544" w14:textId="77777777" w:rsidR="00E3132B" w:rsidRPr="00232EBB" w:rsidRDefault="00E3132B" w:rsidP="0055368C">
            <w:pPr>
              <w:spacing w:line="240" w:lineRule="auto"/>
              <w:jc w:val="both"/>
              <w:rPr>
                <w:sz w:val="20"/>
                <w:szCs w:val="20"/>
                <w:lang w:val="es-ES"/>
              </w:rPr>
            </w:pPr>
            <w:r w:rsidRPr="00232EBB">
              <w:rPr>
                <w:sz w:val="20"/>
                <w:szCs w:val="20"/>
                <w:lang w:val="es-ES"/>
              </w:rPr>
              <w:t>94%</w:t>
            </w:r>
          </w:p>
        </w:tc>
        <w:tc>
          <w:tcPr>
            <w:tcW w:w="953" w:type="dxa"/>
            <w:vAlign w:val="center"/>
          </w:tcPr>
          <w:p w14:paraId="586BCB95" w14:textId="77777777" w:rsidR="00E3132B" w:rsidRPr="00232EBB" w:rsidRDefault="00E3132B" w:rsidP="0055368C">
            <w:pPr>
              <w:spacing w:line="240" w:lineRule="auto"/>
              <w:jc w:val="center"/>
              <w:rPr>
                <w:sz w:val="20"/>
                <w:szCs w:val="20"/>
                <w:lang w:val="es-ES"/>
              </w:rPr>
            </w:pPr>
            <w:r w:rsidRPr="00232EBB">
              <w:rPr>
                <w:sz w:val="20"/>
                <w:szCs w:val="20"/>
                <w:lang w:val="es-ES"/>
              </w:rPr>
              <w:t>94%</w:t>
            </w:r>
          </w:p>
        </w:tc>
        <w:tc>
          <w:tcPr>
            <w:tcW w:w="974" w:type="dxa"/>
            <w:vAlign w:val="center"/>
          </w:tcPr>
          <w:p w14:paraId="3A6DF0B7" w14:textId="77777777" w:rsidR="00E3132B" w:rsidRPr="00232EBB" w:rsidRDefault="00E3132B" w:rsidP="0055368C">
            <w:pPr>
              <w:spacing w:line="240" w:lineRule="auto"/>
              <w:jc w:val="center"/>
              <w:rPr>
                <w:sz w:val="20"/>
                <w:szCs w:val="20"/>
                <w:lang w:val="es-ES"/>
              </w:rPr>
            </w:pPr>
            <w:r w:rsidRPr="00232EBB">
              <w:rPr>
                <w:sz w:val="20"/>
                <w:szCs w:val="20"/>
                <w:lang w:val="es-ES"/>
              </w:rPr>
              <w:t>93%</w:t>
            </w:r>
          </w:p>
        </w:tc>
        <w:tc>
          <w:tcPr>
            <w:tcW w:w="810" w:type="dxa"/>
            <w:vAlign w:val="center"/>
          </w:tcPr>
          <w:p w14:paraId="26B8714D" w14:textId="77777777" w:rsidR="00E3132B" w:rsidRPr="00232EBB" w:rsidRDefault="00E3132B" w:rsidP="0055368C">
            <w:pPr>
              <w:spacing w:line="240" w:lineRule="auto"/>
              <w:jc w:val="center"/>
              <w:rPr>
                <w:sz w:val="20"/>
                <w:szCs w:val="20"/>
                <w:lang w:val="es-ES"/>
              </w:rPr>
            </w:pPr>
            <w:r w:rsidRPr="00232EBB">
              <w:rPr>
                <w:sz w:val="20"/>
                <w:szCs w:val="20"/>
                <w:lang w:val="es-ES"/>
              </w:rPr>
              <w:t>94%</w:t>
            </w:r>
          </w:p>
        </w:tc>
      </w:tr>
      <w:tr w:rsidR="00E3132B" w:rsidRPr="00232EBB" w14:paraId="5C6B55CB" w14:textId="77777777" w:rsidTr="008B5B92">
        <w:trPr>
          <w:trHeight w:val="19"/>
          <w:jc w:val="center"/>
        </w:trPr>
        <w:tc>
          <w:tcPr>
            <w:tcW w:w="3685" w:type="dxa"/>
            <w:noWrap/>
            <w:vAlign w:val="center"/>
          </w:tcPr>
          <w:p w14:paraId="70C44694" w14:textId="77777777" w:rsidR="00E3132B" w:rsidRPr="00232EBB" w:rsidRDefault="00E3132B" w:rsidP="0055368C">
            <w:pPr>
              <w:spacing w:line="240" w:lineRule="auto"/>
              <w:jc w:val="both"/>
              <w:rPr>
                <w:sz w:val="20"/>
                <w:szCs w:val="20"/>
                <w:lang w:val="es-ES"/>
              </w:rPr>
            </w:pPr>
            <w:r w:rsidRPr="00232EBB">
              <w:rPr>
                <w:sz w:val="20"/>
                <w:szCs w:val="20"/>
                <w:lang w:val="es-ES"/>
              </w:rPr>
              <w:t>Cumplir en al menos un 88% con los atributos de satisfacción de los colaboradores de la TSS</w:t>
            </w:r>
          </w:p>
        </w:tc>
        <w:tc>
          <w:tcPr>
            <w:tcW w:w="810" w:type="dxa"/>
            <w:noWrap/>
            <w:vAlign w:val="center"/>
          </w:tcPr>
          <w:p w14:paraId="34D49D9E" w14:textId="77777777" w:rsidR="00E3132B" w:rsidRPr="00232EBB" w:rsidRDefault="00E3132B" w:rsidP="0055368C">
            <w:pPr>
              <w:spacing w:line="240" w:lineRule="auto"/>
              <w:jc w:val="both"/>
              <w:rPr>
                <w:sz w:val="20"/>
                <w:szCs w:val="20"/>
                <w:lang w:val="es-ES"/>
              </w:rPr>
            </w:pPr>
            <w:r w:rsidRPr="00232EBB">
              <w:rPr>
                <w:sz w:val="20"/>
                <w:szCs w:val="20"/>
                <w:lang w:val="es-ES"/>
              </w:rPr>
              <w:t>88%</w:t>
            </w:r>
          </w:p>
        </w:tc>
        <w:tc>
          <w:tcPr>
            <w:tcW w:w="2880" w:type="dxa"/>
            <w:gridSpan w:val="3"/>
            <w:noWrap/>
            <w:vAlign w:val="center"/>
          </w:tcPr>
          <w:p w14:paraId="5BAF87FE" w14:textId="77777777" w:rsidR="00E3132B" w:rsidRPr="00232EBB" w:rsidRDefault="00E3132B" w:rsidP="0055368C">
            <w:pPr>
              <w:spacing w:line="240" w:lineRule="auto"/>
              <w:jc w:val="center"/>
              <w:rPr>
                <w:sz w:val="20"/>
                <w:szCs w:val="20"/>
                <w:lang w:val="es-ES"/>
              </w:rPr>
            </w:pPr>
            <w:r w:rsidRPr="00232EBB">
              <w:rPr>
                <w:sz w:val="20"/>
                <w:szCs w:val="20"/>
                <w:lang w:val="es-ES"/>
              </w:rPr>
              <w:t>Programado T4</w:t>
            </w:r>
          </w:p>
        </w:tc>
        <w:tc>
          <w:tcPr>
            <w:tcW w:w="810" w:type="dxa"/>
            <w:vAlign w:val="center"/>
          </w:tcPr>
          <w:p w14:paraId="7801140E" w14:textId="77777777" w:rsidR="00E3132B" w:rsidRPr="00232EBB" w:rsidRDefault="00E3132B" w:rsidP="0055368C">
            <w:pPr>
              <w:spacing w:line="240" w:lineRule="auto"/>
              <w:jc w:val="center"/>
              <w:rPr>
                <w:sz w:val="20"/>
                <w:szCs w:val="20"/>
                <w:lang w:val="es-ES"/>
              </w:rPr>
            </w:pPr>
            <w:r w:rsidRPr="00232EBB">
              <w:rPr>
                <w:sz w:val="20"/>
                <w:szCs w:val="20"/>
                <w:lang w:val="es-ES"/>
              </w:rPr>
              <w:t>90%</w:t>
            </w:r>
          </w:p>
        </w:tc>
      </w:tr>
      <w:tr w:rsidR="00E3132B" w:rsidRPr="00232EBB" w14:paraId="3880BE31" w14:textId="77777777" w:rsidTr="008B5B92">
        <w:trPr>
          <w:trHeight w:val="19"/>
          <w:jc w:val="center"/>
        </w:trPr>
        <w:tc>
          <w:tcPr>
            <w:tcW w:w="3685" w:type="dxa"/>
            <w:noWrap/>
            <w:vAlign w:val="center"/>
          </w:tcPr>
          <w:p w14:paraId="1CC73E91" w14:textId="77777777" w:rsidR="00E3132B" w:rsidRPr="00232EBB" w:rsidRDefault="00E3132B" w:rsidP="0055368C">
            <w:pPr>
              <w:spacing w:line="240" w:lineRule="auto"/>
              <w:jc w:val="both"/>
              <w:rPr>
                <w:sz w:val="20"/>
                <w:szCs w:val="20"/>
                <w:lang w:val="es-ES"/>
              </w:rPr>
            </w:pPr>
            <w:r w:rsidRPr="00232EBB">
              <w:rPr>
                <w:sz w:val="20"/>
                <w:szCs w:val="20"/>
                <w:lang w:val="es-ES"/>
              </w:rPr>
              <w:t>Alcanzar al menos un 90% en las Metas Transparencia Gubernamental</w:t>
            </w:r>
          </w:p>
        </w:tc>
        <w:tc>
          <w:tcPr>
            <w:tcW w:w="810" w:type="dxa"/>
            <w:noWrap/>
            <w:vAlign w:val="center"/>
          </w:tcPr>
          <w:p w14:paraId="22B7F0C8" w14:textId="77777777" w:rsidR="00E3132B" w:rsidRPr="00232EBB" w:rsidRDefault="00E3132B" w:rsidP="0055368C">
            <w:pPr>
              <w:spacing w:line="240" w:lineRule="auto"/>
              <w:jc w:val="both"/>
              <w:rPr>
                <w:sz w:val="20"/>
                <w:szCs w:val="20"/>
                <w:lang w:val="es-ES"/>
              </w:rPr>
            </w:pPr>
            <w:r w:rsidRPr="00232EBB">
              <w:rPr>
                <w:sz w:val="20"/>
                <w:szCs w:val="20"/>
                <w:lang w:val="es-ES"/>
              </w:rPr>
              <w:t>90%</w:t>
            </w:r>
          </w:p>
        </w:tc>
        <w:tc>
          <w:tcPr>
            <w:tcW w:w="953" w:type="dxa"/>
            <w:noWrap/>
            <w:vAlign w:val="center"/>
          </w:tcPr>
          <w:p w14:paraId="059CF3AA" w14:textId="77777777" w:rsidR="00E3132B" w:rsidRPr="00232EBB" w:rsidRDefault="00E3132B" w:rsidP="0055368C">
            <w:pPr>
              <w:spacing w:line="240" w:lineRule="auto"/>
              <w:jc w:val="both"/>
              <w:rPr>
                <w:sz w:val="20"/>
                <w:szCs w:val="20"/>
                <w:lang w:val="es-ES"/>
              </w:rPr>
            </w:pPr>
            <w:r w:rsidRPr="00232EBB">
              <w:rPr>
                <w:sz w:val="20"/>
                <w:szCs w:val="20"/>
                <w:lang w:val="es-ES"/>
              </w:rPr>
              <w:t>93.7%</w:t>
            </w:r>
          </w:p>
        </w:tc>
        <w:tc>
          <w:tcPr>
            <w:tcW w:w="953" w:type="dxa"/>
            <w:vAlign w:val="center"/>
          </w:tcPr>
          <w:p w14:paraId="713C6D6A" w14:textId="77777777" w:rsidR="00E3132B" w:rsidRPr="00232EBB" w:rsidRDefault="00E3132B" w:rsidP="0055368C">
            <w:pPr>
              <w:spacing w:line="240" w:lineRule="auto"/>
              <w:jc w:val="both"/>
              <w:rPr>
                <w:sz w:val="20"/>
                <w:szCs w:val="20"/>
                <w:lang w:val="es-ES"/>
              </w:rPr>
            </w:pPr>
            <w:r w:rsidRPr="00232EBB">
              <w:rPr>
                <w:sz w:val="20"/>
                <w:szCs w:val="20"/>
                <w:lang w:val="es-ES"/>
              </w:rPr>
              <w:t>92.85%</w:t>
            </w:r>
          </w:p>
        </w:tc>
        <w:tc>
          <w:tcPr>
            <w:tcW w:w="974" w:type="dxa"/>
            <w:vAlign w:val="center"/>
          </w:tcPr>
          <w:p w14:paraId="363E5F3D" w14:textId="77777777" w:rsidR="00E3132B" w:rsidRPr="00232EBB" w:rsidRDefault="00E3132B" w:rsidP="0055368C">
            <w:pPr>
              <w:spacing w:line="240" w:lineRule="auto"/>
              <w:jc w:val="both"/>
              <w:rPr>
                <w:sz w:val="20"/>
                <w:szCs w:val="20"/>
                <w:lang w:val="es-ES"/>
              </w:rPr>
            </w:pPr>
            <w:r w:rsidRPr="00232EBB">
              <w:rPr>
                <w:sz w:val="20"/>
                <w:szCs w:val="20"/>
                <w:lang w:val="es-ES"/>
              </w:rPr>
              <w:t>92.85%</w:t>
            </w:r>
          </w:p>
        </w:tc>
        <w:tc>
          <w:tcPr>
            <w:tcW w:w="810" w:type="dxa"/>
            <w:vAlign w:val="center"/>
          </w:tcPr>
          <w:p w14:paraId="11D87803" w14:textId="77777777" w:rsidR="00E3132B" w:rsidRPr="00232EBB" w:rsidRDefault="00E3132B" w:rsidP="0055368C">
            <w:pPr>
              <w:spacing w:line="240" w:lineRule="auto"/>
              <w:jc w:val="center"/>
              <w:rPr>
                <w:sz w:val="20"/>
                <w:szCs w:val="20"/>
                <w:lang w:val="es-ES"/>
              </w:rPr>
            </w:pPr>
            <w:r w:rsidRPr="00232EBB">
              <w:rPr>
                <w:sz w:val="20"/>
                <w:szCs w:val="20"/>
                <w:lang w:val="es-ES"/>
              </w:rPr>
              <w:t>93%</w:t>
            </w:r>
          </w:p>
        </w:tc>
      </w:tr>
      <w:tr w:rsidR="00E3132B" w:rsidRPr="00232EBB" w14:paraId="41802DAF" w14:textId="77777777" w:rsidTr="00747056">
        <w:trPr>
          <w:trHeight w:val="19"/>
          <w:jc w:val="center"/>
        </w:trPr>
        <w:tc>
          <w:tcPr>
            <w:tcW w:w="3685" w:type="dxa"/>
            <w:noWrap/>
            <w:vAlign w:val="center"/>
          </w:tcPr>
          <w:p w14:paraId="3E0D32FF" w14:textId="77777777" w:rsidR="00E3132B" w:rsidRPr="00232EBB" w:rsidRDefault="00E3132B" w:rsidP="0055368C">
            <w:pPr>
              <w:spacing w:line="240" w:lineRule="auto"/>
              <w:jc w:val="both"/>
              <w:rPr>
                <w:sz w:val="20"/>
                <w:szCs w:val="20"/>
                <w:lang w:val="es-ES"/>
              </w:rPr>
            </w:pPr>
            <w:r w:rsidRPr="00232EBB">
              <w:rPr>
                <w:sz w:val="20"/>
                <w:szCs w:val="20"/>
                <w:lang w:val="es-ES"/>
              </w:rPr>
              <w:t>Dotar el 89% de las competencias conforme programa de capacitación aprobado 2025</w:t>
            </w:r>
          </w:p>
        </w:tc>
        <w:tc>
          <w:tcPr>
            <w:tcW w:w="810" w:type="dxa"/>
            <w:noWrap/>
            <w:vAlign w:val="center"/>
          </w:tcPr>
          <w:p w14:paraId="1B6A2845" w14:textId="77777777" w:rsidR="00E3132B" w:rsidRPr="00232EBB" w:rsidRDefault="00E3132B" w:rsidP="00747056">
            <w:pPr>
              <w:spacing w:line="240" w:lineRule="auto"/>
              <w:jc w:val="center"/>
              <w:rPr>
                <w:sz w:val="20"/>
                <w:szCs w:val="20"/>
                <w:lang w:val="es-ES"/>
              </w:rPr>
            </w:pPr>
            <w:r w:rsidRPr="00232EBB">
              <w:rPr>
                <w:sz w:val="20"/>
                <w:szCs w:val="20"/>
                <w:lang w:val="es-ES"/>
              </w:rPr>
              <w:t>89%</w:t>
            </w:r>
          </w:p>
        </w:tc>
        <w:tc>
          <w:tcPr>
            <w:tcW w:w="953" w:type="dxa"/>
            <w:noWrap/>
            <w:vAlign w:val="center"/>
          </w:tcPr>
          <w:p w14:paraId="5297AB6B" w14:textId="77777777" w:rsidR="00E3132B" w:rsidRPr="00232EBB" w:rsidRDefault="00E3132B" w:rsidP="00747056">
            <w:pPr>
              <w:spacing w:line="240" w:lineRule="auto"/>
              <w:jc w:val="center"/>
              <w:rPr>
                <w:sz w:val="20"/>
                <w:szCs w:val="20"/>
                <w:lang w:val="es-ES"/>
              </w:rPr>
            </w:pPr>
            <w:r w:rsidRPr="00232EBB">
              <w:rPr>
                <w:sz w:val="20"/>
                <w:szCs w:val="20"/>
                <w:lang w:val="es-ES"/>
              </w:rPr>
              <w:t>21.36%</w:t>
            </w:r>
          </w:p>
        </w:tc>
        <w:tc>
          <w:tcPr>
            <w:tcW w:w="953" w:type="dxa"/>
            <w:vAlign w:val="center"/>
          </w:tcPr>
          <w:p w14:paraId="1F98053C" w14:textId="77777777" w:rsidR="00E3132B" w:rsidRPr="00232EBB" w:rsidRDefault="00E3132B" w:rsidP="00747056">
            <w:pPr>
              <w:spacing w:line="240" w:lineRule="auto"/>
              <w:jc w:val="center"/>
              <w:rPr>
                <w:sz w:val="20"/>
                <w:szCs w:val="20"/>
                <w:lang w:val="es-ES"/>
              </w:rPr>
            </w:pPr>
            <w:r w:rsidRPr="00232EBB">
              <w:rPr>
                <w:sz w:val="20"/>
                <w:szCs w:val="20"/>
                <w:lang w:val="es-ES"/>
              </w:rPr>
              <w:t>55.90%</w:t>
            </w:r>
          </w:p>
        </w:tc>
        <w:tc>
          <w:tcPr>
            <w:tcW w:w="974" w:type="dxa"/>
            <w:vAlign w:val="center"/>
          </w:tcPr>
          <w:p w14:paraId="260D8EB6" w14:textId="77777777" w:rsidR="00E3132B" w:rsidRPr="00232EBB" w:rsidRDefault="00E3132B" w:rsidP="00747056">
            <w:pPr>
              <w:spacing w:line="240" w:lineRule="auto"/>
              <w:jc w:val="center"/>
              <w:rPr>
                <w:sz w:val="20"/>
                <w:szCs w:val="20"/>
                <w:lang w:val="es-ES"/>
              </w:rPr>
            </w:pPr>
            <w:r w:rsidRPr="00232EBB">
              <w:rPr>
                <w:sz w:val="20"/>
                <w:szCs w:val="20"/>
                <w:lang w:val="es-ES"/>
              </w:rPr>
              <w:t>61.26%</w:t>
            </w:r>
          </w:p>
        </w:tc>
        <w:tc>
          <w:tcPr>
            <w:tcW w:w="810" w:type="dxa"/>
            <w:vAlign w:val="center"/>
          </w:tcPr>
          <w:p w14:paraId="7128B3A1" w14:textId="77777777" w:rsidR="00E3132B" w:rsidRPr="00232EBB" w:rsidRDefault="00E3132B" w:rsidP="00747056">
            <w:pPr>
              <w:spacing w:line="240" w:lineRule="auto"/>
              <w:jc w:val="center"/>
              <w:rPr>
                <w:sz w:val="20"/>
                <w:szCs w:val="20"/>
                <w:lang w:val="es-ES"/>
              </w:rPr>
            </w:pPr>
            <w:r w:rsidRPr="00232EBB">
              <w:rPr>
                <w:sz w:val="20"/>
                <w:szCs w:val="20"/>
                <w:lang w:val="es-ES"/>
              </w:rPr>
              <w:t>89%</w:t>
            </w:r>
          </w:p>
        </w:tc>
      </w:tr>
      <w:tr w:rsidR="00E3132B" w:rsidRPr="00232EBB" w14:paraId="746F86AA" w14:textId="77777777" w:rsidTr="00747056">
        <w:trPr>
          <w:trHeight w:val="19"/>
          <w:jc w:val="center"/>
        </w:trPr>
        <w:tc>
          <w:tcPr>
            <w:tcW w:w="3685" w:type="dxa"/>
            <w:noWrap/>
            <w:vAlign w:val="center"/>
          </w:tcPr>
          <w:p w14:paraId="6D6578B3" w14:textId="77777777" w:rsidR="00E3132B" w:rsidRPr="00232EBB" w:rsidRDefault="00E3132B" w:rsidP="0055368C">
            <w:pPr>
              <w:spacing w:line="240" w:lineRule="auto"/>
              <w:jc w:val="both"/>
              <w:rPr>
                <w:sz w:val="20"/>
                <w:szCs w:val="20"/>
                <w:lang w:val="es-ES"/>
              </w:rPr>
            </w:pPr>
            <w:r w:rsidRPr="00232EBB">
              <w:rPr>
                <w:sz w:val="20"/>
                <w:szCs w:val="20"/>
                <w:lang w:val="es-ES"/>
              </w:rPr>
              <w:t>Lograr la ejecución del 100% de las 16,000 horas/hombre programadas en capacitaciones durante el año 2025</w:t>
            </w:r>
          </w:p>
        </w:tc>
        <w:tc>
          <w:tcPr>
            <w:tcW w:w="810" w:type="dxa"/>
            <w:noWrap/>
            <w:vAlign w:val="center"/>
          </w:tcPr>
          <w:p w14:paraId="68D45AF8" w14:textId="77777777" w:rsidR="00E3132B" w:rsidRPr="00232EBB" w:rsidRDefault="00E3132B" w:rsidP="00747056">
            <w:pPr>
              <w:spacing w:line="240" w:lineRule="auto"/>
              <w:jc w:val="center"/>
              <w:rPr>
                <w:sz w:val="20"/>
                <w:szCs w:val="20"/>
                <w:lang w:val="es-ES"/>
              </w:rPr>
            </w:pPr>
            <w:r w:rsidRPr="00232EBB">
              <w:rPr>
                <w:sz w:val="20"/>
                <w:szCs w:val="20"/>
                <w:lang w:val="es-ES"/>
              </w:rPr>
              <w:t>100%</w:t>
            </w:r>
          </w:p>
        </w:tc>
        <w:tc>
          <w:tcPr>
            <w:tcW w:w="953" w:type="dxa"/>
            <w:noWrap/>
            <w:vAlign w:val="center"/>
          </w:tcPr>
          <w:p w14:paraId="35B2C452" w14:textId="77777777" w:rsidR="00E3132B" w:rsidRPr="00232EBB" w:rsidRDefault="00E3132B" w:rsidP="00747056">
            <w:pPr>
              <w:spacing w:line="240" w:lineRule="auto"/>
              <w:jc w:val="center"/>
              <w:rPr>
                <w:sz w:val="20"/>
                <w:szCs w:val="20"/>
                <w:lang w:val="es-ES"/>
              </w:rPr>
            </w:pPr>
            <w:r w:rsidRPr="00232EBB">
              <w:rPr>
                <w:sz w:val="20"/>
                <w:szCs w:val="20"/>
                <w:lang w:val="es-ES"/>
              </w:rPr>
              <w:t>22.9%</w:t>
            </w:r>
          </w:p>
        </w:tc>
        <w:tc>
          <w:tcPr>
            <w:tcW w:w="953" w:type="dxa"/>
            <w:vAlign w:val="center"/>
          </w:tcPr>
          <w:p w14:paraId="26224AAB" w14:textId="77777777" w:rsidR="00E3132B" w:rsidRPr="00232EBB" w:rsidRDefault="00E3132B" w:rsidP="00747056">
            <w:pPr>
              <w:spacing w:line="240" w:lineRule="auto"/>
              <w:jc w:val="center"/>
              <w:rPr>
                <w:sz w:val="20"/>
                <w:szCs w:val="20"/>
                <w:lang w:val="es-ES"/>
              </w:rPr>
            </w:pPr>
            <w:r w:rsidRPr="00232EBB">
              <w:rPr>
                <w:sz w:val="20"/>
                <w:szCs w:val="20"/>
                <w:lang w:val="es-ES"/>
              </w:rPr>
              <w:t>44.39%</w:t>
            </w:r>
          </w:p>
        </w:tc>
        <w:tc>
          <w:tcPr>
            <w:tcW w:w="974" w:type="dxa"/>
            <w:vAlign w:val="center"/>
          </w:tcPr>
          <w:p w14:paraId="0C974389" w14:textId="77777777" w:rsidR="00E3132B" w:rsidRPr="00232EBB" w:rsidRDefault="00E3132B" w:rsidP="00747056">
            <w:pPr>
              <w:spacing w:line="240" w:lineRule="auto"/>
              <w:jc w:val="center"/>
              <w:rPr>
                <w:sz w:val="20"/>
                <w:szCs w:val="20"/>
                <w:lang w:val="es-ES"/>
              </w:rPr>
            </w:pPr>
            <w:r w:rsidRPr="00232EBB">
              <w:rPr>
                <w:sz w:val="20"/>
                <w:szCs w:val="20"/>
                <w:lang w:val="es-ES"/>
              </w:rPr>
              <w:t>68.27%</w:t>
            </w:r>
          </w:p>
        </w:tc>
        <w:tc>
          <w:tcPr>
            <w:tcW w:w="810" w:type="dxa"/>
            <w:vAlign w:val="center"/>
          </w:tcPr>
          <w:p w14:paraId="2206A834" w14:textId="77777777" w:rsidR="00E3132B" w:rsidRPr="00232EBB" w:rsidRDefault="00E3132B" w:rsidP="00747056">
            <w:pPr>
              <w:spacing w:line="240" w:lineRule="auto"/>
              <w:jc w:val="center"/>
              <w:rPr>
                <w:sz w:val="20"/>
                <w:szCs w:val="20"/>
                <w:lang w:val="es-ES"/>
              </w:rPr>
            </w:pPr>
            <w:r w:rsidRPr="00232EBB">
              <w:rPr>
                <w:sz w:val="20"/>
                <w:szCs w:val="20"/>
                <w:lang w:val="es-ES"/>
              </w:rPr>
              <w:t>100%</w:t>
            </w:r>
          </w:p>
        </w:tc>
      </w:tr>
      <w:tr w:rsidR="00E3132B" w:rsidRPr="00232EBB" w14:paraId="2EC619C6" w14:textId="77777777" w:rsidTr="00747056">
        <w:trPr>
          <w:trHeight w:val="19"/>
          <w:jc w:val="center"/>
        </w:trPr>
        <w:tc>
          <w:tcPr>
            <w:tcW w:w="3685" w:type="dxa"/>
            <w:noWrap/>
            <w:vAlign w:val="center"/>
          </w:tcPr>
          <w:p w14:paraId="758E154D" w14:textId="77777777" w:rsidR="00E3132B" w:rsidRPr="00232EBB" w:rsidRDefault="00E3132B" w:rsidP="0055368C">
            <w:pPr>
              <w:spacing w:line="240" w:lineRule="auto"/>
              <w:jc w:val="both"/>
              <w:rPr>
                <w:sz w:val="20"/>
                <w:szCs w:val="20"/>
                <w:lang w:val="es-ES"/>
              </w:rPr>
            </w:pPr>
            <w:r w:rsidRPr="00232EBB">
              <w:rPr>
                <w:sz w:val="20"/>
                <w:szCs w:val="20"/>
                <w:lang w:val="es-ES"/>
              </w:rPr>
              <w:t>Cumplir con el 100% del Plan Cultura en Gestión de Riesgos, Resiliencia y Continuidad de Negocios a diciembre 2025</w:t>
            </w:r>
          </w:p>
        </w:tc>
        <w:tc>
          <w:tcPr>
            <w:tcW w:w="810" w:type="dxa"/>
            <w:noWrap/>
            <w:vAlign w:val="center"/>
          </w:tcPr>
          <w:p w14:paraId="66D41A64" w14:textId="77777777" w:rsidR="00E3132B" w:rsidRPr="00232EBB" w:rsidRDefault="00E3132B" w:rsidP="00747056">
            <w:pPr>
              <w:spacing w:line="240" w:lineRule="auto"/>
              <w:jc w:val="center"/>
              <w:rPr>
                <w:sz w:val="20"/>
                <w:szCs w:val="20"/>
                <w:lang w:val="es-ES"/>
              </w:rPr>
            </w:pPr>
            <w:r w:rsidRPr="00232EBB">
              <w:rPr>
                <w:sz w:val="20"/>
                <w:szCs w:val="20"/>
                <w:lang w:val="es-ES"/>
              </w:rPr>
              <w:t>100%</w:t>
            </w:r>
          </w:p>
        </w:tc>
        <w:tc>
          <w:tcPr>
            <w:tcW w:w="953" w:type="dxa"/>
            <w:noWrap/>
            <w:vAlign w:val="center"/>
          </w:tcPr>
          <w:p w14:paraId="72054C10" w14:textId="77777777" w:rsidR="00E3132B" w:rsidRPr="00232EBB" w:rsidRDefault="00E3132B" w:rsidP="00747056">
            <w:pPr>
              <w:spacing w:line="240" w:lineRule="auto"/>
              <w:jc w:val="center"/>
              <w:rPr>
                <w:sz w:val="20"/>
                <w:szCs w:val="20"/>
                <w:lang w:val="es-ES"/>
              </w:rPr>
            </w:pPr>
            <w:r w:rsidRPr="00232EBB">
              <w:rPr>
                <w:sz w:val="20"/>
                <w:szCs w:val="20"/>
                <w:lang w:val="es-ES"/>
              </w:rPr>
              <w:t>20%</w:t>
            </w:r>
          </w:p>
        </w:tc>
        <w:tc>
          <w:tcPr>
            <w:tcW w:w="953" w:type="dxa"/>
            <w:vAlign w:val="center"/>
          </w:tcPr>
          <w:p w14:paraId="5043E491" w14:textId="77777777" w:rsidR="00E3132B" w:rsidRPr="00232EBB" w:rsidRDefault="00E3132B" w:rsidP="00747056">
            <w:pPr>
              <w:spacing w:line="240" w:lineRule="auto"/>
              <w:jc w:val="center"/>
              <w:rPr>
                <w:sz w:val="20"/>
                <w:szCs w:val="20"/>
                <w:lang w:val="es-ES"/>
              </w:rPr>
            </w:pPr>
            <w:r w:rsidRPr="00232EBB">
              <w:rPr>
                <w:sz w:val="20"/>
                <w:szCs w:val="20"/>
                <w:lang w:val="es-ES"/>
              </w:rPr>
              <w:t>40.5%</w:t>
            </w:r>
          </w:p>
        </w:tc>
        <w:tc>
          <w:tcPr>
            <w:tcW w:w="974" w:type="dxa"/>
            <w:vAlign w:val="center"/>
          </w:tcPr>
          <w:p w14:paraId="57A47819" w14:textId="77777777" w:rsidR="00E3132B" w:rsidRPr="00232EBB" w:rsidRDefault="00E3132B" w:rsidP="00747056">
            <w:pPr>
              <w:spacing w:line="240" w:lineRule="auto"/>
              <w:jc w:val="center"/>
              <w:rPr>
                <w:sz w:val="20"/>
                <w:szCs w:val="20"/>
                <w:lang w:val="es-ES"/>
              </w:rPr>
            </w:pPr>
            <w:r w:rsidRPr="00232EBB">
              <w:rPr>
                <w:sz w:val="20"/>
                <w:szCs w:val="20"/>
                <w:lang w:val="es-ES"/>
              </w:rPr>
              <w:t>48%</w:t>
            </w:r>
          </w:p>
        </w:tc>
        <w:tc>
          <w:tcPr>
            <w:tcW w:w="810" w:type="dxa"/>
            <w:vAlign w:val="center"/>
          </w:tcPr>
          <w:p w14:paraId="5BA046B9" w14:textId="77777777" w:rsidR="00E3132B" w:rsidRPr="00232EBB" w:rsidRDefault="00E3132B" w:rsidP="00747056">
            <w:pPr>
              <w:spacing w:line="240" w:lineRule="auto"/>
              <w:jc w:val="center"/>
              <w:rPr>
                <w:sz w:val="20"/>
                <w:szCs w:val="20"/>
                <w:lang w:val="es-ES"/>
              </w:rPr>
            </w:pPr>
            <w:r w:rsidRPr="00232EBB">
              <w:rPr>
                <w:sz w:val="20"/>
                <w:szCs w:val="20"/>
                <w:lang w:val="es-ES"/>
              </w:rPr>
              <w:t>100%</w:t>
            </w:r>
          </w:p>
        </w:tc>
      </w:tr>
      <w:tr w:rsidR="00E3132B" w:rsidRPr="00232EBB" w14:paraId="7751CF09" w14:textId="77777777" w:rsidTr="00747056">
        <w:trPr>
          <w:trHeight w:val="19"/>
          <w:jc w:val="center"/>
        </w:trPr>
        <w:tc>
          <w:tcPr>
            <w:tcW w:w="3685" w:type="dxa"/>
            <w:noWrap/>
            <w:vAlign w:val="center"/>
          </w:tcPr>
          <w:p w14:paraId="00D7905C" w14:textId="77777777" w:rsidR="00E3132B" w:rsidRPr="00232EBB" w:rsidRDefault="00E3132B" w:rsidP="0055368C">
            <w:pPr>
              <w:spacing w:line="240" w:lineRule="auto"/>
              <w:jc w:val="both"/>
              <w:rPr>
                <w:sz w:val="20"/>
                <w:szCs w:val="20"/>
                <w:lang w:val="es-ES"/>
              </w:rPr>
            </w:pPr>
            <w:r w:rsidRPr="00232EBB">
              <w:rPr>
                <w:sz w:val="20"/>
                <w:szCs w:val="20"/>
                <w:lang w:val="es-ES"/>
              </w:rPr>
              <w:t>Realizar el 100% de los ejercicios planificados para el 2025 en Continuidad de los Negocios</w:t>
            </w:r>
          </w:p>
        </w:tc>
        <w:tc>
          <w:tcPr>
            <w:tcW w:w="810" w:type="dxa"/>
            <w:noWrap/>
            <w:vAlign w:val="center"/>
          </w:tcPr>
          <w:p w14:paraId="68C9BB36" w14:textId="77777777" w:rsidR="00E3132B" w:rsidRPr="00232EBB" w:rsidRDefault="00E3132B" w:rsidP="00747056">
            <w:pPr>
              <w:spacing w:line="240" w:lineRule="auto"/>
              <w:jc w:val="center"/>
              <w:rPr>
                <w:sz w:val="20"/>
                <w:szCs w:val="20"/>
                <w:lang w:val="es-ES"/>
              </w:rPr>
            </w:pPr>
            <w:r w:rsidRPr="00232EBB">
              <w:rPr>
                <w:sz w:val="20"/>
                <w:szCs w:val="20"/>
                <w:lang w:val="es-ES"/>
              </w:rPr>
              <w:t>100%</w:t>
            </w:r>
          </w:p>
        </w:tc>
        <w:tc>
          <w:tcPr>
            <w:tcW w:w="953" w:type="dxa"/>
            <w:noWrap/>
            <w:vAlign w:val="center"/>
          </w:tcPr>
          <w:p w14:paraId="1E2003C0" w14:textId="77777777" w:rsidR="00E3132B" w:rsidRPr="00232EBB" w:rsidRDefault="00E3132B" w:rsidP="00747056">
            <w:pPr>
              <w:spacing w:line="240" w:lineRule="auto"/>
              <w:jc w:val="center"/>
              <w:rPr>
                <w:sz w:val="20"/>
                <w:szCs w:val="20"/>
                <w:lang w:val="es-ES"/>
              </w:rPr>
            </w:pPr>
            <w:r w:rsidRPr="00232EBB">
              <w:rPr>
                <w:sz w:val="20"/>
                <w:szCs w:val="20"/>
                <w:lang w:val="es-ES"/>
              </w:rPr>
              <w:t>-</w:t>
            </w:r>
          </w:p>
        </w:tc>
        <w:tc>
          <w:tcPr>
            <w:tcW w:w="953" w:type="dxa"/>
            <w:vAlign w:val="center"/>
          </w:tcPr>
          <w:p w14:paraId="4D3CA8BA" w14:textId="77777777" w:rsidR="00E3132B" w:rsidRPr="00232EBB" w:rsidRDefault="00E3132B" w:rsidP="00747056">
            <w:pPr>
              <w:spacing w:line="240" w:lineRule="auto"/>
              <w:jc w:val="center"/>
              <w:rPr>
                <w:sz w:val="20"/>
                <w:szCs w:val="20"/>
                <w:lang w:val="es-ES"/>
              </w:rPr>
            </w:pPr>
            <w:r w:rsidRPr="00232EBB">
              <w:rPr>
                <w:sz w:val="20"/>
                <w:szCs w:val="20"/>
                <w:lang w:val="es-ES"/>
              </w:rPr>
              <w:t>25%</w:t>
            </w:r>
          </w:p>
        </w:tc>
        <w:tc>
          <w:tcPr>
            <w:tcW w:w="974" w:type="dxa"/>
            <w:vAlign w:val="center"/>
          </w:tcPr>
          <w:p w14:paraId="2B21C874" w14:textId="77777777" w:rsidR="00E3132B" w:rsidRPr="00232EBB" w:rsidRDefault="00E3132B" w:rsidP="00747056">
            <w:pPr>
              <w:spacing w:line="240" w:lineRule="auto"/>
              <w:jc w:val="center"/>
              <w:rPr>
                <w:sz w:val="20"/>
                <w:szCs w:val="20"/>
                <w:lang w:val="es-ES"/>
              </w:rPr>
            </w:pPr>
            <w:r w:rsidRPr="00232EBB">
              <w:rPr>
                <w:sz w:val="20"/>
                <w:szCs w:val="20"/>
                <w:lang w:val="es-ES"/>
              </w:rPr>
              <w:t>25%</w:t>
            </w:r>
          </w:p>
        </w:tc>
        <w:tc>
          <w:tcPr>
            <w:tcW w:w="810" w:type="dxa"/>
            <w:vAlign w:val="center"/>
          </w:tcPr>
          <w:p w14:paraId="4A13DEA9" w14:textId="77777777" w:rsidR="00E3132B" w:rsidRPr="00232EBB" w:rsidRDefault="00E3132B" w:rsidP="00747056">
            <w:pPr>
              <w:spacing w:line="240" w:lineRule="auto"/>
              <w:jc w:val="center"/>
              <w:rPr>
                <w:sz w:val="20"/>
                <w:szCs w:val="20"/>
                <w:lang w:val="es-ES"/>
              </w:rPr>
            </w:pPr>
            <w:r w:rsidRPr="00232EBB">
              <w:rPr>
                <w:sz w:val="20"/>
                <w:szCs w:val="20"/>
                <w:lang w:val="es-ES"/>
              </w:rPr>
              <w:t>100%</w:t>
            </w:r>
          </w:p>
        </w:tc>
      </w:tr>
      <w:tr w:rsidR="00E3132B" w:rsidRPr="00232EBB" w14:paraId="4334B772" w14:textId="77777777" w:rsidTr="00747056">
        <w:trPr>
          <w:trHeight w:val="19"/>
          <w:jc w:val="center"/>
        </w:trPr>
        <w:tc>
          <w:tcPr>
            <w:tcW w:w="3685" w:type="dxa"/>
            <w:noWrap/>
            <w:vAlign w:val="center"/>
          </w:tcPr>
          <w:p w14:paraId="18807DB7" w14:textId="77777777" w:rsidR="00E3132B" w:rsidRPr="00232EBB" w:rsidRDefault="00E3132B" w:rsidP="0055368C">
            <w:pPr>
              <w:spacing w:line="240" w:lineRule="auto"/>
              <w:jc w:val="both"/>
              <w:rPr>
                <w:sz w:val="20"/>
                <w:szCs w:val="20"/>
                <w:lang w:val="es-ES"/>
              </w:rPr>
            </w:pPr>
            <w:r w:rsidRPr="00232EBB">
              <w:rPr>
                <w:sz w:val="20"/>
                <w:szCs w:val="20"/>
                <w:lang w:val="es-ES"/>
              </w:rPr>
              <w:t xml:space="preserve">Implementar en un 100% enfoques innovadores para fomentar el cumplimiento y prevenir el soborno. </w:t>
            </w:r>
          </w:p>
        </w:tc>
        <w:tc>
          <w:tcPr>
            <w:tcW w:w="810" w:type="dxa"/>
            <w:noWrap/>
            <w:vAlign w:val="center"/>
          </w:tcPr>
          <w:p w14:paraId="14638942" w14:textId="77777777" w:rsidR="00E3132B" w:rsidRPr="00232EBB" w:rsidRDefault="00E3132B" w:rsidP="00747056">
            <w:pPr>
              <w:spacing w:line="240" w:lineRule="auto"/>
              <w:jc w:val="center"/>
              <w:rPr>
                <w:sz w:val="20"/>
                <w:szCs w:val="20"/>
                <w:lang w:val="es-ES"/>
              </w:rPr>
            </w:pPr>
            <w:r w:rsidRPr="00232EBB">
              <w:rPr>
                <w:sz w:val="20"/>
                <w:szCs w:val="20"/>
                <w:lang w:val="es-ES"/>
              </w:rPr>
              <w:t>100%</w:t>
            </w:r>
          </w:p>
        </w:tc>
        <w:tc>
          <w:tcPr>
            <w:tcW w:w="953" w:type="dxa"/>
            <w:noWrap/>
            <w:vAlign w:val="center"/>
          </w:tcPr>
          <w:p w14:paraId="49957028" w14:textId="77777777" w:rsidR="00E3132B" w:rsidRPr="00232EBB" w:rsidRDefault="00E3132B" w:rsidP="00747056">
            <w:pPr>
              <w:spacing w:line="240" w:lineRule="auto"/>
              <w:jc w:val="center"/>
              <w:rPr>
                <w:sz w:val="20"/>
                <w:szCs w:val="20"/>
                <w:lang w:val="es-ES"/>
              </w:rPr>
            </w:pPr>
            <w:r w:rsidRPr="00232EBB">
              <w:rPr>
                <w:sz w:val="20"/>
                <w:szCs w:val="20"/>
                <w:lang w:val="es-ES"/>
              </w:rPr>
              <w:t>50%</w:t>
            </w:r>
          </w:p>
        </w:tc>
        <w:tc>
          <w:tcPr>
            <w:tcW w:w="953" w:type="dxa"/>
            <w:vAlign w:val="center"/>
          </w:tcPr>
          <w:p w14:paraId="04FC9DCE" w14:textId="77777777" w:rsidR="00E3132B" w:rsidRPr="00232EBB" w:rsidRDefault="00E3132B" w:rsidP="00747056">
            <w:pPr>
              <w:spacing w:line="240" w:lineRule="auto"/>
              <w:jc w:val="center"/>
              <w:rPr>
                <w:sz w:val="20"/>
                <w:szCs w:val="20"/>
                <w:lang w:val="es-ES"/>
              </w:rPr>
            </w:pPr>
            <w:r w:rsidRPr="00232EBB">
              <w:rPr>
                <w:sz w:val="20"/>
                <w:szCs w:val="20"/>
                <w:lang w:val="es-ES"/>
              </w:rPr>
              <w:t>75%</w:t>
            </w:r>
          </w:p>
        </w:tc>
        <w:tc>
          <w:tcPr>
            <w:tcW w:w="974" w:type="dxa"/>
            <w:vAlign w:val="center"/>
          </w:tcPr>
          <w:p w14:paraId="6A3E9132" w14:textId="77777777" w:rsidR="00E3132B" w:rsidRPr="00232EBB" w:rsidRDefault="00E3132B" w:rsidP="00747056">
            <w:pPr>
              <w:spacing w:line="240" w:lineRule="auto"/>
              <w:jc w:val="center"/>
              <w:rPr>
                <w:sz w:val="20"/>
                <w:szCs w:val="20"/>
                <w:lang w:val="es-ES"/>
              </w:rPr>
            </w:pPr>
            <w:r w:rsidRPr="00232EBB">
              <w:rPr>
                <w:sz w:val="20"/>
                <w:szCs w:val="20"/>
                <w:lang w:val="es-ES"/>
              </w:rPr>
              <w:t>85%</w:t>
            </w:r>
          </w:p>
        </w:tc>
        <w:tc>
          <w:tcPr>
            <w:tcW w:w="810" w:type="dxa"/>
            <w:vAlign w:val="center"/>
          </w:tcPr>
          <w:p w14:paraId="7D550F31" w14:textId="77777777" w:rsidR="00E3132B" w:rsidRPr="00232EBB" w:rsidRDefault="00E3132B" w:rsidP="00747056">
            <w:pPr>
              <w:spacing w:line="240" w:lineRule="auto"/>
              <w:jc w:val="center"/>
              <w:rPr>
                <w:sz w:val="20"/>
                <w:szCs w:val="20"/>
                <w:lang w:val="es-ES"/>
              </w:rPr>
            </w:pPr>
            <w:r w:rsidRPr="00232EBB">
              <w:rPr>
                <w:sz w:val="20"/>
                <w:szCs w:val="20"/>
                <w:lang w:val="es-ES"/>
              </w:rPr>
              <w:t>100%</w:t>
            </w:r>
          </w:p>
        </w:tc>
      </w:tr>
      <w:tr w:rsidR="00E3132B" w:rsidRPr="00232EBB" w14:paraId="409B36BD" w14:textId="77777777" w:rsidTr="00747056">
        <w:trPr>
          <w:trHeight w:val="19"/>
          <w:jc w:val="center"/>
        </w:trPr>
        <w:tc>
          <w:tcPr>
            <w:tcW w:w="3685" w:type="dxa"/>
            <w:noWrap/>
            <w:vAlign w:val="center"/>
          </w:tcPr>
          <w:p w14:paraId="586E78F0" w14:textId="77777777" w:rsidR="00E3132B" w:rsidRPr="00232EBB" w:rsidRDefault="00E3132B" w:rsidP="0055368C">
            <w:pPr>
              <w:spacing w:line="240" w:lineRule="auto"/>
              <w:jc w:val="both"/>
              <w:rPr>
                <w:sz w:val="20"/>
                <w:szCs w:val="20"/>
                <w:lang w:val="es-ES"/>
              </w:rPr>
            </w:pPr>
            <w:r w:rsidRPr="00232EBB">
              <w:rPr>
                <w:sz w:val="20"/>
                <w:szCs w:val="20"/>
                <w:lang w:val="es-ES"/>
              </w:rPr>
              <w:t>Promover en un 100% la alineación estratégica promovida en cumplimiento y antisoborno, mediante la sensibilización, formación y comunicación de directrices conforme ISO 37001 y 37301.</w:t>
            </w:r>
          </w:p>
        </w:tc>
        <w:tc>
          <w:tcPr>
            <w:tcW w:w="810" w:type="dxa"/>
            <w:noWrap/>
            <w:vAlign w:val="center"/>
          </w:tcPr>
          <w:p w14:paraId="212277F1" w14:textId="77777777" w:rsidR="00E3132B" w:rsidRPr="00232EBB" w:rsidRDefault="00E3132B" w:rsidP="00747056">
            <w:pPr>
              <w:spacing w:line="240" w:lineRule="auto"/>
              <w:jc w:val="center"/>
              <w:rPr>
                <w:sz w:val="20"/>
                <w:szCs w:val="20"/>
                <w:lang w:val="es-ES"/>
              </w:rPr>
            </w:pPr>
            <w:r w:rsidRPr="00232EBB">
              <w:rPr>
                <w:sz w:val="20"/>
                <w:szCs w:val="20"/>
                <w:lang w:val="es-ES"/>
              </w:rPr>
              <w:t>100%</w:t>
            </w:r>
          </w:p>
        </w:tc>
        <w:tc>
          <w:tcPr>
            <w:tcW w:w="953" w:type="dxa"/>
            <w:noWrap/>
            <w:vAlign w:val="center"/>
          </w:tcPr>
          <w:p w14:paraId="4260097B" w14:textId="77777777" w:rsidR="00E3132B" w:rsidRPr="00232EBB" w:rsidRDefault="00E3132B" w:rsidP="00747056">
            <w:pPr>
              <w:spacing w:line="240" w:lineRule="auto"/>
              <w:jc w:val="center"/>
              <w:rPr>
                <w:sz w:val="20"/>
                <w:szCs w:val="20"/>
                <w:lang w:val="es-ES"/>
              </w:rPr>
            </w:pPr>
            <w:r w:rsidRPr="00232EBB">
              <w:rPr>
                <w:sz w:val="20"/>
                <w:szCs w:val="20"/>
                <w:lang w:val="es-ES"/>
              </w:rPr>
              <w:t>16.4%</w:t>
            </w:r>
          </w:p>
        </w:tc>
        <w:tc>
          <w:tcPr>
            <w:tcW w:w="953" w:type="dxa"/>
            <w:vAlign w:val="center"/>
          </w:tcPr>
          <w:p w14:paraId="79587E9C" w14:textId="77777777" w:rsidR="00E3132B" w:rsidRPr="00232EBB" w:rsidRDefault="00E3132B" w:rsidP="00747056">
            <w:pPr>
              <w:spacing w:line="240" w:lineRule="auto"/>
              <w:jc w:val="center"/>
              <w:rPr>
                <w:sz w:val="20"/>
                <w:szCs w:val="20"/>
                <w:lang w:val="es-ES"/>
              </w:rPr>
            </w:pPr>
            <w:r w:rsidRPr="00232EBB">
              <w:rPr>
                <w:sz w:val="20"/>
                <w:szCs w:val="20"/>
                <w:lang w:val="es-ES"/>
              </w:rPr>
              <w:t>61%</w:t>
            </w:r>
          </w:p>
        </w:tc>
        <w:tc>
          <w:tcPr>
            <w:tcW w:w="974" w:type="dxa"/>
            <w:vAlign w:val="center"/>
          </w:tcPr>
          <w:p w14:paraId="52FE1916" w14:textId="77777777" w:rsidR="00E3132B" w:rsidRPr="00232EBB" w:rsidRDefault="00E3132B" w:rsidP="00747056">
            <w:pPr>
              <w:spacing w:line="240" w:lineRule="auto"/>
              <w:jc w:val="center"/>
              <w:rPr>
                <w:sz w:val="20"/>
                <w:szCs w:val="20"/>
                <w:lang w:val="es-ES"/>
              </w:rPr>
            </w:pPr>
            <w:r w:rsidRPr="00232EBB">
              <w:rPr>
                <w:sz w:val="20"/>
                <w:szCs w:val="20"/>
                <w:lang w:val="es-ES"/>
              </w:rPr>
              <w:t>70%</w:t>
            </w:r>
          </w:p>
        </w:tc>
        <w:tc>
          <w:tcPr>
            <w:tcW w:w="810" w:type="dxa"/>
            <w:vAlign w:val="center"/>
          </w:tcPr>
          <w:p w14:paraId="791548EA" w14:textId="77777777" w:rsidR="00E3132B" w:rsidRPr="00232EBB" w:rsidRDefault="00E3132B" w:rsidP="00747056">
            <w:pPr>
              <w:spacing w:line="240" w:lineRule="auto"/>
              <w:jc w:val="center"/>
              <w:rPr>
                <w:sz w:val="20"/>
                <w:szCs w:val="20"/>
                <w:lang w:val="es-ES"/>
              </w:rPr>
            </w:pPr>
            <w:r w:rsidRPr="00232EBB">
              <w:rPr>
                <w:sz w:val="20"/>
                <w:szCs w:val="20"/>
                <w:lang w:val="es-ES"/>
              </w:rPr>
              <w:t>100%</w:t>
            </w:r>
          </w:p>
        </w:tc>
      </w:tr>
      <w:tr w:rsidR="00E3132B" w:rsidRPr="00232EBB" w14:paraId="1777BED6" w14:textId="77777777" w:rsidTr="00747056">
        <w:trPr>
          <w:trHeight w:val="19"/>
          <w:jc w:val="center"/>
        </w:trPr>
        <w:tc>
          <w:tcPr>
            <w:tcW w:w="3685" w:type="dxa"/>
            <w:noWrap/>
            <w:vAlign w:val="center"/>
          </w:tcPr>
          <w:p w14:paraId="1D8FC2B6" w14:textId="77777777" w:rsidR="00E3132B" w:rsidRPr="00232EBB" w:rsidRDefault="00E3132B" w:rsidP="0055368C">
            <w:pPr>
              <w:spacing w:line="240" w:lineRule="auto"/>
              <w:jc w:val="both"/>
              <w:rPr>
                <w:sz w:val="20"/>
                <w:szCs w:val="20"/>
                <w:lang w:val="es-ES"/>
              </w:rPr>
            </w:pPr>
            <w:r w:rsidRPr="00232EBB">
              <w:rPr>
                <w:sz w:val="20"/>
                <w:szCs w:val="20"/>
                <w:lang w:val="es-ES"/>
              </w:rPr>
              <w:t xml:space="preserve">Sistematizar en un 100% la gestión de riesgos de soborno e incumplimiento en la organización </w:t>
            </w:r>
          </w:p>
        </w:tc>
        <w:tc>
          <w:tcPr>
            <w:tcW w:w="810" w:type="dxa"/>
            <w:noWrap/>
            <w:vAlign w:val="center"/>
          </w:tcPr>
          <w:p w14:paraId="2F2D6FA0" w14:textId="77777777" w:rsidR="00E3132B" w:rsidRPr="00232EBB" w:rsidRDefault="00E3132B" w:rsidP="00747056">
            <w:pPr>
              <w:spacing w:line="240" w:lineRule="auto"/>
              <w:jc w:val="center"/>
              <w:rPr>
                <w:sz w:val="20"/>
                <w:szCs w:val="20"/>
                <w:lang w:val="es-ES"/>
              </w:rPr>
            </w:pPr>
            <w:r w:rsidRPr="00232EBB">
              <w:rPr>
                <w:sz w:val="20"/>
                <w:szCs w:val="20"/>
                <w:lang w:val="es-ES"/>
              </w:rPr>
              <w:t>100%</w:t>
            </w:r>
          </w:p>
        </w:tc>
        <w:tc>
          <w:tcPr>
            <w:tcW w:w="953" w:type="dxa"/>
            <w:noWrap/>
            <w:vAlign w:val="center"/>
          </w:tcPr>
          <w:p w14:paraId="7D2006BE" w14:textId="77777777" w:rsidR="00E3132B" w:rsidRPr="00232EBB" w:rsidRDefault="00E3132B" w:rsidP="00747056">
            <w:pPr>
              <w:spacing w:line="240" w:lineRule="auto"/>
              <w:jc w:val="center"/>
              <w:rPr>
                <w:sz w:val="20"/>
                <w:szCs w:val="20"/>
                <w:lang w:val="es-ES"/>
              </w:rPr>
            </w:pPr>
            <w:r w:rsidRPr="00232EBB">
              <w:rPr>
                <w:sz w:val="20"/>
                <w:szCs w:val="20"/>
                <w:lang w:val="es-ES"/>
              </w:rPr>
              <w:t>76%</w:t>
            </w:r>
          </w:p>
        </w:tc>
        <w:tc>
          <w:tcPr>
            <w:tcW w:w="953" w:type="dxa"/>
            <w:vAlign w:val="center"/>
          </w:tcPr>
          <w:p w14:paraId="50AF9B03" w14:textId="77777777" w:rsidR="00E3132B" w:rsidRPr="00232EBB" w:rsidRDefault="00E3132B" w:rsidP="00747056">
            <w:pPr>
              <w:spacing w:line="240" w:lineRule="auto"/>
              <w:jc w:val="center"/>
              <w:rPr>
                <w:sz w:val="20"/>
                <w:szCs w:val="20"/>
                <w:lang w:val="es-ES"/>
              </w:rPr>
            </w:pPr>
            <w:r w:rsidRPr="00232EBB">
              <w:rPr>
                <w:sz w:val="20"/>
                <w:szCs w:val="20"/>
                <w:lang w:val="es-ES"/>
              </w:rPr>
              <w:t>84%</w:t>
            </w:r>
          </w:p>
        </w:tc>
        <w:tc>
          <w:tcPr>
            <w:tcW w:w="974" w:type="dxa"/>
            <w:vAlign w:val="center"/>
          </w:tcPr>
          <w:p w14:paraId="7BDAA2D2" w14:textId="77777777" w:rsidR="00E3132B" w:rsidRPr="00232EBB" w:rsidRDefault="00E3132B" w:rsidP="00747056">
            <w:pPr>
              <w:spacing w:line="240" w:lineRule="auto"/>
              <w:jc w:val="center"/>
              <w:rPr>
                <w:sz w:val="20"/>
                <w:szCs w:val="20"/>
                <w:lang w:val="es-ES"/>
              </w:rPr>
            </w:pPr>
            <w:r w:rsidRPr="00232EBB">
              <w:rPr>
                <w:sz w:val="20"/>
                <w:szCs w:val="20"/>
                <w:lang w:val="es-ES"/>
              </w:rPr>
              <w:t>100%</w:t>
            </w:r>
          </w:p>
        </w:tc>
        <w:tc>
          <w:tcPr>
            <w:tcW w:w="810" w:type="dxa"/>
            <w:vAlign w:val="center"/>
          </w:tcPr>
          <w:p w14:paraId="0DA53F3D" w14:textId="77777777" w:rsidR="00E3132B" w:rsidRPr="00232EBB" w:rsidRDefault="00E3132B" w:rsidP="00747056">
            <w:pPr>
              <w:spacing w:line="240" w:lineRule="auto"/>
              <w:jc w:val="center"/>
              <w:rPr>
                <w:sz w:val="20"/>
                <w:szCs w:val="20"/>
                <w:lang w:val="es-ES"/>
              </w:rPr>
            </w:pPr>
            <w:r w:rsidRPr="00232EBB">
              <w:rPr>
                <w:sz w:val="20"/>
                <w:szCs w:val="20"/>
                <w:lang w:val="es-ES"/>
              </w:rPr>
              <w:t>100%</w:t>
            </w:r>
          </w:p>
        </w:tc>
      </w:tr>
      <w:tr w:rsidR="00E3132B" w:rsidRPr="00232EBB" w14:paraId="11489D79" w14:textId="77777777" w:rsidTr="00747056">
        <w:trPr>
          <w:trHeight w:val="19"/>
          <w:jc w:val="center"/>
        </w:trPr>
        <w:tc>
          <w:tcPr>
            <w:tcW w:w="3685" w:type="dxa"/>
            <w:noWrap/>
            <w:vAlign w:val="center"/>
          </w:tcPr>
          <w:p w14:paraId="67E0C9A4" w14:textId="77777777" w:rsidR="00E3132B" w:rsidRPr="00232EBB" w:rsidRDefault="00E3132B" w:rsidP="0055368C">
            <w:pPr>
              <w:spacing w:line="240" w:lineRule="auto"/>
              <w:jc w:val="both"/>
              <w:rPr>
                <w:sz w:val="20"/>
                <w:szCs w:val="20"/>
                <w:lang w:val="es-ES"/>
              </w:rPr>
            </w:pPr>
            <w:r w:rsidRPr="00232EBB">
              <w:rPr>
                <w:sz w:val="20"/>
                <w:szCs w:val="20"/>
                <w:lang w:val="es-ES"/>
              </w:rPr>
              <w:t xml:space="preserve">Promover en un 100% la cultura de apertura escucha y protección a denunciantes  </w:t>
            </w:r>
          </w:p>
        </w:tc>
        <w:tc>
          <w:tcPr>
            <w:tcW w:w="810" w:type="dxa"/>
            <w:noWrap/>
            <w:vAlign w:val="center"/>
          </w:tcPr>
          <w:p w14:paraId="35A497BB" w14:textId="77777777" w:rsidR="00E3132B" w:rsidRPr="00232EBB" w:rsidRDefault="00E3132B" w:rsidP="00747056">
            <w:pPr>
              <w:spacing w:line="240" w:lineRule="auto"/>
              <w:jc w:val="center"/>
              <w:rPr>
                <w:sz w:val="20"/>
                <w:szCs w:val="20"/>
                <w:lang w:val="es-ES"/>
              </w:rPr>
            </w:pPr>
            <w:r w:rsidRPr="00232EBB">
              <w:rPr>
                <w:sz w:val="20"/>
                <w:szCs w:val="20"/>
                <w:lang w:val="es-ES"/>
              </w:rPr>
              <w:t>100%</w:t>
            </w:r>
          </w:p>
        </w:tc>
        <w:tc>
          <w:tcPr>
            <w:tcW w:w="953" w:type="dxa"/>
            <w:noWrap/>
            <w:vAlign w:val="center"/>
          </w:tcPr>
          <w:p w14:paraId="065DC424" w14:textId="77777777" w:rsidR="00E3132B" w:rsidRPr="00232EBB" w:rsidRDefault="00E3132B" w:rsidP="00747056">
            <w:pPr>
              <w:spacing w:line="240" w:lineRule="auto"/>
              <w:jc w:val="center"/>
              <w:rPr>
                <w:sz w:val="20"/>
                <w:szCs w:val="20"/>
                <w:lang w:val="es-ES"/>
              </w:rPr>
            </w:pPr>
            <w:r w:rsidRPr="00232EBB">
              <w:rPr>
                <w:sz w:val="20"/>
                <w:szCs w:val="20"/>
                <w:lang w:val="es-ES"/>
              </w:rPr>
              <w:t>-</w:t>
            </w:r>
          </w:p>
        </w:tc>
        <w:tc>
          <w:tcPr>
            <w:tcW w:w="953" w:type="dxa"/>
            <w:vAlign w:val="center"/>
          </w:tcPr>
          <w:p w14:paraId="563A5F6F" w14:textId="77777777" w:rsidR="00E3132B" w:rsidRPr="00232EBB" w:rsidRDefault="00E3132B" w:rsidP="00747056">
            <w:pPr>
              <w:spacing w:line="240" w:lineRule="auto"/>
              <w:jc w:val="center"/>
              <w:rPr>
                <w:sz w:val="20"/>
                <w:szCs w:val="20"/>
                <w:lang w:val="es-ES"/>
              </w:rPr>
            </w:pPr>
            <w:r w:rsidRPr="00232EBB">
              <w:rPr>
                <w:sz w:val="20"/>
                <w:szCs w:val="20"/>
                <w:lang w:val="es-ES"/>
              </w:rPr>
              <w:t>36%</w:t>
            </w:r>
          </w:p>
        </w:tc>
        <w:tc>
          <w:tcPr>
            <w:tcW w:w="974" w:type="dxa"/>
            <w:vAlign w:val="center"/>
          </w:tcPr>
          <w:p w14:paraId="186C14AC" w14:textId="77777777" w:rsidR="00E3132B" w:rsidRPr="00232EBB" w:rsidRDefault="00E3132B" w:rsidP="00747056">
            <w:pPr>
              <w:spacing w:line="240" w:lineRule="auto"/>
              <w:jc w:val="center"/>
              <w:rPr>
                <w:sz w:val="20"/>
                <w:szCs w:val="20"/>
                <w:lang w:val="es-ES"/>
              </w:rPr>
            </w:pPr>
            <w:r w:rsidRPr="00232EBB">
              <w:rPr>
                <w:sz w:val="20"/>
                <w:szCs w:val="20"/>
                <w:lang w:val="es-ES"/>
              </w:rPr>
              <w:t>42%</w:t>
            </w:r>
          </w:p>
        </w:tc>
        <w:tc>
          <w:tcPr>
            <w:tcW w:w="810" w:type="dxa"/>
            <w:vAlign w:val="center"/>
          </w:tcPr>
          <w:p w14:paraId="0561BAD1" w14:textId="77777777" w:rsidR="00E3132B" w:rsidRPr="00232EBB" w:rsidRDefault="00E3132B" w:rsidP="00747056">
            <w:pPr>
              <w:spacing w:line="240" w:lineRule="auto"/>
              <w:jc w:val="center"/>
              <w:rPr>
                <w:sz w:val="20"/>
                <w:szCs w:val="20"/>
                <w:lang w:val="es-ES"/>
              </w:rPr>
            </w:pPr>
            <w:r w:rsidRPr="00232EBB">
              <w:rPr>
                <w:sz w:val="20"/>
                <w:szCs w:val="20"/>
                <w:lang w:val="es-ES"/>
              </w:rPr>
              <w:t>100%</w:t>
            </w:r>
          </w:p>
        </w:tc>
      </w:tr>
      <w:tr w:rsidR="00E3132B" w:rsidRPr="00232EBB" w14:paraId="1E1318A1" w14:textId="77777777" w:rsidTr="00747056">
        <w:trPr>
          <w:trHeight w:val="19"/>
          <w:jc w:val="center"/>
        </w:trPr>
        <w:tc>
          <w:tcPr>
            <w:tcW w:w="3685" w:type="dxa"/>
            <w:noWrap/>
            <w:vAlign w:val="center"/>
          </w:tcPr>
          <w:p w14:paraId="29CDF19E" w14:textId="77777777" w:rsidR="00E3132B" w:rsidRPr="00232EBB" w:rsidRDefault="00E3132B" w:rsidP="0055368C">
            <w:pPr>
              <w:spacing w:line="240" w:lineRule="auto"/>
              <w:jc w:val="both"/>
              <w:rPr>
                <w:sz w:val="20"/>
                <w:szCs w:val="20"/>
                <w:lang w:val="es-ES"/>
              </w:rPr>
            </w:pPr>
            <w:r w:rsidRPr="00232EBB">
              <w:rPr>
                <w:sz w:val="20"/>
                <w:szCs w:val="20"/>
                <w:lang w:val="es-ES"/>
              </w:rPr>
              <w:t>Asegurar en un 100% la mejora continua del sistema de cumplimiento y antisoborno</w:t>
            </w:r>
          </w:p>
        </w:tc>
        <w:tc>
          <w:tcPr>
            <w:tcW w:w="810" w:type="dxa"/>
            <w:noWrap/>
            <w:vAlign w:val="center"/>
          </w:tcPr>
          <w:p w14:paraId="5CBAF8E3" w14:textId="77777777" w:rsidR="00E3132B" w:rsidRPr="00232EBB" w:rsidRDefault="00E3132B" w:rsidP="00747056">
            <w:pPr>
              <w:spacing w:line="240" w:lineRule="auto"/>
              <w:jc w:val="center"/>
              <w:rPr>
                <w:sz w:val="20"/>
                <w:szCs w:val="20"/>
                <w:lang w:val="es-ES"/>
              </w:rPr>
            </w:pPr>
            <w:r w:rsidRPr="00232EBB">
              <w:rPr>
                <w:sz w:val="20"/>
                <w:szCs w:val="20"/>
                <w:lang w:val="es-ES"/>
              </w:rPr>
              <w:t>100%</w:t>
            </w:r>
          </w:p>
        </w:tc>
        <w:tc>
          <w:tcPr>
            <w:tcW w:w="953" w:type="dxa"/>
            <w:noWrap/>
            <w:vAlign w:val="center"/>
          </w:tcPr>
          <w:p w14:paraId="0BEB090A" w14:textId="77777777" w:rsidR="00E3132B" w:rsidRPr="00232EBB" w:rsidRDefault="00E3132B" w:rsidP="00747056">
            <w:pPr>
              <w:spacing w:line="240" w:lineRule="auto"/>
              <w:jc w:val="center"/>
              <w:rPr>
                <w:sz w:val="20"/>
                <w:szCs w:val="20"/>
                <w:lang w:val="es-ES"/>
              </w:rPr>
            </w:pPr>
            <w:r w:rsidRPr="00232EBB">
              <w:rPr>
                <w:sz w:val="20"/>
                <w:szCs w:val="20"/>
                <w:lang w:val="es-ES"/>
              </w:rPr>
              <w:t>-</w:t>
            </w:r>
          </w:p>
        </w:tc>
        <w:tc>
          <w:tcPr>
            <w:tcW w:w="953" w:type="dxa"/>
            <w:vAlign w:val="center"/>
          </w:tcPr>
          <w:p w14:paraId="52C67FAD" w14:textId="77777777" w:rsidR="00E3132B" w:rsidRPr="00232EBB" w:rsidRDefault="00E3132B" w:rsidP="00747056">
            <w:pPr>
              <w:spacing w:line="240" w:lineRule="auto"/>
              <w:jc w:val="center"/>
              <w:rPr>
                <w:sz w:val="20"/>
                <w:szCs w:val="20"/>
                <w:lang w:val="es-ES"/>
              </w:rPr>
            </w:pPr>
            <w:r w:rsidRPr="00232EBB">
              <w:rPr>
                <w:sz w:val="20"/>
                <w:szCs w:val="20"/>
                <w:lang w:val="es-ES"/>
              </w:rPr>
              <w:t>50%</w:t>
            </w:r>
          </w:p>
        </w:tc>
        <w:tc>
          <w:tcPr>
            <w:tcW w:w="974" w:type="dxa"/>
            <w:vAlign w:val="center"/>
          </w:tcPr>
          <w:p w14:paraId="241CEEC9" w14:textId="77777777" w:rsidR="00E3132B" w:rsidRPr="00232EBB" w:rsidRDefault="00E3132B" w:rsidP="00747056">
            <w:pPr>
              <w:spacing w:line="240" w:lineRule="auto"/>
              <w:jc w:val="center"/>
              <w:rPr>
                <w:sz w:val="20"/>
                <w:szCs w:val="20"/>
                <w:lang w:val="es-ES"/>
              </w:rPr>
            </w:pPr>
            <w:r w:rsidRPr="00232EBB">
              <w:rPr>
                <w:sz w:val="20"/>
                <w:szCs w:val="20"/>
                <w:lang w:val="es-ES"/>
              </w:rPr>
              <w:t>80%</w:t>
            </w:r>
          </w:p>
        </w:tc>
        <w:tc>
          <w:tcPr>
            <w:tcW w:w="810" w:type="dxa"/>
            <w:vAlign w:val="center"/>
          </w:tcPr>
          <w:p w14:paraId="05014DD2" w14:textId="77777777" w:rsidR="00E3132B" w:rsidRPr="00232EBB" w:rsidRDefault="00E3132B" w:rsidP="00747056">
            <w:pPr>
              <w:spacing w:line="240" w:lineRule="auto"/>
              <w:jc w:val="center"/>
              <w:rPr>
                <w:sz w:val="20"/>
                <w:szCs w:val="20"/>
                <w:lang w:val="es-ES"/>
              </w:rPr>
            </w:pPr>
            <w:r w:rsidRPr="00232EBB">
              <w:rPr>
                <w:sz w:val="20"/>
                <w:szCs w:val="20"/>
                <w:lang w:val="es-ES"/>
              </w:rPr>
              <w:t>100%</w:t>
            </w:r>
          </w:p>
        </w:tc>
      </w:tr>
      <w:tr w:rsidR="00E3132B" w:rsidRPr="00232EBB" w14:paraId="7FEF3FF0" w14:textId="77777777" w:rsidTr="00747056">
        <w:trPr>
          <w:trHeight w:val="19"/>
          <w:jc w:val="center"/>
        </w:trPr>
        <w:tc>
          <w:tcPr>
            <w:tcW w:w="3685" w:type="dxa"/>
            <w:noWrap/>
            <w:vAlign w:val="center"/>
          </w:tcPr>
          <w:p w14:paraId="5DA499D3" w14:textId="77777777" w:rsidR="00E3132B" w:rsidRPr="00232EBB" w:rsidRDefault="00E3132B" w:rsidP="0055368C">
            <w:pPr>
              <w:spacing w:line="240" w:lineRule="auto"/>
              <w:jc w:val="both"/>
              <w:rPr>
                <w:sz w:val="20"/>
                <w:szCs w:val="20"/>
                <w:lang w:val="es-ES"/>
              </w:rPr>
            </w:pPr>
            <w:r w:rsidRPr="00232EBB">
              <w:rPr>
                <w:sz w:val="20"/>
                <w:szCs w:val="20"/>
                <w:lang w:val="es-ES"/>
              </w:rPr>
              <w:t xml:space="preserve">Fomentar en un 100% el conocimiento del sistema de </w:t>
            </w:r>
            <w:r w:rsidRPr="00232EBB">
              <w:rPr>
                <w:sz w:val="20"/>
                <w:szCs w:val="20"/>
                <w:lang w:val="es-ES"/>
              </w:rPr>
              <w:lastRenderedPageBreak/>
              <w:t>consecuencias ante el soborno e incumplimiento regulatorio</w:t>
            </w:r>
          </w:p>
        </w:tc>
        <w:tc>
          <w:tcPr>
            <w:tcW w:w="810" w:type="dxa"/>
            <w:noWrap/>
            <w:vAlign w:val="center"/>
          </w:tcPr>
          <w:p w14:paraId="0EAE1C7B" w14:textId="77777777" w:rsidR="00E3132B" w:rsidRPr="00232EBB" w:rsidRDefault="00E3132B" w:rsidP="00747056">
            <w:pPr>
              <w:spacing w:line="240" w:lineRule="auto"/>
              <w:jc w:val="center"/>
              <w:rPr>
                <w:sz w:val="20"/>
                <w:szCs w:val="20"/>
                <w:lang w:val="es-ES"/>
              </w:rPr>
            </w:pPr>
            <w:r w:rsidRPr="00232EBB">
              <w:rPr>
                <w:sz w:val="20"/>
                <w:szCs w:val="20"/>
                <w:lang w:val="es-ES"/>
              </w:rPr>
              <w:lastRenderedPageBreak/>
              <w:t>100%</w:t>
            </w:r>
          </w:p>
        </w:tc>
        <w:tc>
          <w:tcPr>
            <w:tcW w:w="953" w:type="dxa"/>
            <w:noWrap/>
            <w:vAlign w:val="center"/>
          </w:tcPr>
          <w:p w14:paraId="48875294" w14:textId="77777777" w:rsidR="00E3132B" w:rsidRPr="00232EBB" w:rsidRDefault="00E3132B" w:rsidP="00747056">
            <w:pPr>
              <w:spacing w:line="240" w:lineRule="auto"/>
              <w:jc w:val="center"/>
              <w:rPr>
                <w:sz w:val="20"/>
                <w:szCs w:val="20"/>
                <w:lang w:val="es-ES"/>
              </w:rPr>
            </w:pPr>
            <w:r w:rsidRPr="00232EBB">
              <w:rPr>
                <w:sz w:val="20"/>
                <w:szCs w:val="20"/>
                <w:lang w:val="es-ES"/>
              </w:rPr>
              <w:t>-</w:t>
            </w:r>
          </w:p>
        </w:tc>
        <w:tc>
          <w:tcPr>
            <w:tcW w:w="953" w:type="dxa"/>
            <w:vAlign w:val="center"/>
          </w:tcPr>
          <w:p w14:paraId="0A77E4F1" w14:textId="77777777" w:rsidR="00E3132B" w:rsidRPr="00232EBB" w:rsidRDefault="00E3132B" w:rsidP="00747056">
            <w:pPr>
              <w:spacing w:line="240" w:lineRule="auto"/>
              <w:jc w:val="center"/>
              <w:rPr>
                <w:sz w:val="20"/>
                <w:szCs w:val="20"/>
                <w:lang w:val="es-ES"/>
              </w:rPr>
            </w:pPr>
            <w:r w:rsidRPr="00232EBB">
              <w:rPr>
                <w:sz w:val="20"/>
                <w:szCs w:val="20"/>
                <w:lang w:val="es-ES"/>
              </w:rPr>
              <w:t>25%</w:t>
            </w:r>
          </w:p>
        </w:tc>
        <w:tc>
          <w:tcPr>
            <w:tcW w:w="974" w:type="dxa"/>
            <w:vAlign w:val="center"/>
          </w:tcPr>
          <w:p w14:paraId="3496979E" w14:textId="77777777" w:rsidR="00E3132B" w:rsidRPr="00232EBB" w:rsidRDefault="00E3132B" w:rsidP="00747056">
            <w:pPr>
              <w:spacing w:line="240" w:lineRule="auto"/>
              <w:jc w:val="center"/>
              <w:rPr>
                <w:sz w:val="20"/>
                <w:szCs w:val="20"/>
                <w:lang w:val="es-ES"/>
              </w:rPr>
            </w:pPr>
            <w:r w:rsidRPr="00232EBB">
              <w:rPr>
                <w:sz w:val="20"/>
                <w:szCs w:val="20"/>
                <w:lang w:val="es-ES"/>
              </w:rPr>
              <w:t>62.5%</w:t>
            </w:r>
          </w:p>
        </w:tc>
        <w:tc>
          <w:tcPr>
            <w:tcW w:w="810" w:type="dxa"/>
            <w:vAlign w:val="center"/>
          </w:tcPr>
          <w:p w14:paraId="1043465E" w14:textId="77777777" w:rsidR="00E3132B" w:rsidRPr="00232EBB" w:rsidRDefault="00E3132B" w:rsidP="00747056">
            <w:pPr>
              <w:spacing w:line="240" w:lineRule="auto"/>
              <w:jc w:val="center"/>
              <w:rPr>
                <w:sz w:val="20"/>
                <w:szCs w:val="20"/>
                <w:lang w:val="es-ES"/>
              </w:rPr>
            </w:pPr>
            <w:r w:rsidRPr="00232EBB">
              <w:rPr>
                <w:sz w:val="20"/>
                <w:szCs w:val="20"/>
                <w:lang w:val="es-ES"/>
              </w:rPr>
              <w:t>100%</w:t>
            </w:r>
          </w:p>
        </w:tc>
      </w:tr>
    </w:tbl>
    <w:p w14:paraId="346C489C" w14:textId="1872EA39" w:rsidR="00E314FC" w:rsidRPr="00232EBB" w:rsidRDefault="00E314FC" w:rsidP="00E314FC">
      <w:pPr>
        <w:spacing w:after="0" w:line="360" w:lineRule="auto"/>
        <w:rPr>
          <w:sz w:val="18"/>
          <w:szCs w:val="18"/>
          <w:lang w:val="es-DO"/>
        </w:rPr>
      </w:pPr>
      <w:r w:rsidRPr="00232EBB">
        <w:rPr>
          <w:b/>
          <w:bCs/>
          <w:sz w:val="18"/>
          <w:szCs w:val="18"/>
          <w:lang w:val="es-DO"/>
        </w:rPr>
        <w:t>Tabla</w:t>
      </w:r>
      <w:r w:rsidR="00DC4778" w:rsidRPr="00232EBB">
        <w:rPr>
          <w:b/>
          <w:bCs/>
          <w:sz w:val="18"/>
          <w:szCs w:val="18"/>
          <w:lang w:val="es-DO"/>
        </w:rPr>
        <w:t xml:space="preserve"> 2</w:t>
      </w:r>
      <w:r w:rsidR="00E27BAB">
        <w:rPr>
          <w:b/>
          <w:bCs/>
          <w:sz w:val="18"/>
          <w:szCs w:val="18"/>
          <w:lang w:val="es-DO"/>
        </w:rPr>
        <w:t>4</w:t>
      </w:r>
      <w:r w:rsidRPr="00232EBB">
        <w:rPr>
          <w:b/>
          <w:bCs/>
          <w:sz w:val="18"/>
          <w:szCs w:val="18"/>
          <w:lang w:val="es-DO"/>
        </w:rPr>
        <w:t xml:space="preserve">: </w:t>
      </w:r>
      <w:r w:rsidR="00592BE2" w:rsidRPr="00232EBB">
        <w:rPr>
          <w:sz w:val="18"/>
          <w:szCs w:val="18"/>
          <w:lang w:val="es-DO"/>
        </w:rPr>
        <w:t xml:space="preserve">Objetivos Sistema de Gestión Integrado </w:t>
      </w:r>
      <w:r w:rsidRPr="00232EBB">
        <w:rPr>
          <w:sz w:val="18"/>
          <w:szCs w:val="18"/>
          <w:lang w:val="es-DO"/>
        </w:rPr>
        <w:t>2025</w:t>
      </w:r>
    </w:p>
    <w:p w14:paraId="51D3C4B2" w14:textId="77777777" w:rsidR="00C45649" w:rsidRPr="00232EBB" w:rsidRDefault="00C45649" w:rsidP="00592BE2">
      <w:pPr>
        <w:spacing w:line="360" w:lineRule="auto"/>
        <w:jc w:val="both"/>
        <w:rPr>
          <w:lang w:val="es-ES"/>
        </w:rPr>
      </w:pPr>
    </w:p>
    <w:p w14:paraId="087145ED" w14:textId="64920B98" w:rsidR="00FB1BA1" w:rsidRPr="00232EBB" w:rsidRDefault="00E3132B" w:rsidP="00592BE2">
      <w:pPr>
        <w:spacing w:line="360" w:lineRule="auto"/>
        <w:jc w:val="both"/>
        <w:rPr>
          <w:lang w:val="es-ES"/>
        </w:rPr>
      </w:pPr>
      <w:r w:rsidRPr="00232EBB">
        <w:rPr>
          <w:lang w:val="es-ES"/>
        </w:rPr>
        <w:t>Otro de los avances relevantes de este período fue el fortalecimiento de la gestión documental, logrando la migración de documentos no controlados hacia los controlados en el INTRANET. Este proceso permitió organizar, estandarizar y asegurar la trazabilidad de la información institucional, garantizando que cada documento cuente con versiones oficiales, actualizadas y accesibles para todos los colaboradores. Esta mejora no solo aporta mayor orden y transparencia, sino que también fortalece la eficiencia operativa y el cumplimiento de los lineamientos establecidos para la administración pública moderna.</w:t>
      </w:r>
    </w:p>
    <w:p w14:paraId="0047F81B" w14:textId="65339F40" w:rsidR="00E3132B" w:rsidRPr="00232EBB" w:rsidRDefault="00E3132B" w:rsidP="00097B97">
      <w:pPr>
        <w:spacing w:line="360" w:lineRule="auto"/>
        <w:jc w:val="both"/>
        <w:rPr>
          <w:rFonts w:eastAsia="Calibri"/>
          <w:b/>
          <w:bCs/>
          <w:noProof/>
          <w:lang w:val="es-DO"/>
        </w:rPr>
      </w:pPr>
      <w:r w:rsidRPr="00232EBB">
        <w:rPr>
          <w:rFonts w:eastAsia="Calibri"/>
          <w:b/>
          <w:bCs/>
          <w:noProof/>
          <w:lang w:val="es-DO"/>
        </w:rPr>
        <w:t xml:space="preserve">Avances indicadores SISMAP </w:t>
      </w:r>
    </w:p>
    <w:p w14:paraId="6405E42C" w14:textId="77777777" w:rsidR="00E3132B" w:rsidRPr="00232EBB" w:rsidRDefault="00E3132B" w:rsidP="00E3132B">
      <w:pPr>
        <w:spacing w:line="360" w:lineRule="auto"/>
        <w:jc w:val="both"/>
        <w:rPr>
          <w:lang w:val="es-ES"/>
        </w:rPr>
      </w:pPr>
      <w:r w:rsidRPr="00232EBB">
        <w:rPr>
          <w:lang w:val="es-ES"/>
        </w:rPr>
        <w:t>Durante este período alcanzamos un hito significativo en materia de gestión institucional, logrando posicionarnos con un 89 % en el SISMAP, a pesar de los ajustes introducidos en la metodología y la incorporación de nuevos indicadores. Este resultado refleja nuestro compromiso con la mejora continua y la excelencia en la administración pública.</w:t>
      </w:r>
    </w:p>
    <w:p w14:paraId="510F46F3" w14:textId="77777777" w:rsidR="00E3132B" w:rsidRPr="00232EBB" w:rsidRDefault="00E3132B" w:rsidP="00E3132B">
      <w:pPr>
        <w:spacing w:line="360" w:lineRule="auto"/>
        <w:jc w:val="both"/>
        <w:rPr>
          <w:lang w:val="es-ES"/>
        </w:rPr>
      </w:pPr>
      <w:r w:rsidRPr="00232EBB">
        <w:rPr>
          <w:lang w:val="es-ES"/>
        </w:rPr>
        <w:t>Entre los avances más relevantes se destacan:</w:t>
      </w:r>
    </w:p>
    <w:p w14:paraId="5221ADC5" w14:textId="641564E5" w:rsidR="00E3132B" w:rsidRPr="00232EBB" w:rsidRDefault="00E3132B" w:rsidP="000E2299">
      <w:pPr>
        <w:pStyle w:val="ListParagraph"/>
        <w:numPr>
          <w:ilvl w:val="0"/>
          <w:numId w:val="22"/>
        </w:numPr>
        <w:spacing w:line="360" w:lineRule="auto"/>
        <w:rPr>
          <w:rFonts w:ascii="Times New Roman" w:eastAsiaTheme="minorHAnsi" w:hAnsi="Times New Roman"/>
          <w:color w:val="767171"/>
          <w:spacing w:val="20"/>
          <w:sz w:val="24"/>
          <w:szCs w:val="24"/>
          <w:lang w:val="es-ES"/>
        </w:rPr>
      </w:pPr>
      <w:r w:rsidRPr="00232EBB">
        <w:rPr>
          <w:rFonts w:ascii="Times New Roman" w:eastAsiaTheme="minorHAnsi" w:hAnsi="Times New Roman"/>
          <w:color w:val="767171"/>
          <w:spacing w:val="20"/>
          <w:sz w:val="24"/>
          <w:szCs w:val="24"/>
          <w:lang w:val="es-ES"/>
        </w:rPr>
        <w:t>Implementación de Acciones de Inclusión y Accesibilidad (Indicador 09.6): Consolidamos iniciativas que garantizan servicios accesibles para todos, fortaleciendo la equidad y la inclusión.</w:t>
      </w:r>
    </w:p>
    <w:p w14:paraId="71144212" w14:textId="7CAFC856" w:rsidR="00E3132B" w:rsidRPr="00232EBB" w:rsidRDefault="00E3132B" w:rsidP="000E2299">
      <w:pPr>
        <w:pStyle w:val="ListParagraph"/>
        <w:numPr>
          <w:ilvl w:val="0"/>
          <w:numId w:val="22"/>
        </w:numPr>
        <w:spacing w:line="360" w:lineRule="auto"/>
        <w:rPr>
          <w:rFonts w:ascii="Times New Roman" w:eastAsiaTheme="minorHAnsi" w:hAnsi="Times New Roman"/>
          <w:color w:val="767171"/>
          <w:spacing w:val="20"/>
          <w:sz w:val="24"/>
          <w:szCs w:val="24"/>
          <w:lang w:val="es-ES"/>
        </w:rPr>
      </w:pPr>
      <w:r w:rsidRPr="00232EBB">
        <w:rPr>
          <w:rFonts w:ascii="Times New Roman" w:eastAsiaTheme="minorHAnsi" w:hAnsi="Times New Roman"/>
          <w:color w:val="767171"/>
          <w:spacing w:val="20"/>
          <w:sz w:val="24"/>
          <w:szCs w:val="24"/>
          <w:lang w:val="es-ES"/>
        </w:rPr>
        <w:t xml:space="preserve">Monitoreo de la Calidad de los Servicios (Indicador 01.6): Por primera vez, la evaluación se realizó a través de la plataforma del Observatorio de la Calidad de los Servicios </w:t>
      </w:r>
      <w:r w:rsidRPr="00232EBB">
        <w:rPr>
          <w:rFonts w:ascii="Times New Roman" w:eastAsiaTheme="minorHAnsi" w:hAnsi="Times New Roman"/>
          <w:color w:val="767171"/>
          <w:spacing w:val="20"/>
          <w:sz w:val="24"/>
          <w:szCs w:val="24"/>
          <w:lang w:val="es-ES"/>
        </w:rPr>
        <w:lastRenderedPageBreak/>
        <w:t>Públicos, donde obtuvimos un 87 %, confirmando nuestro esfuerzo por mantener estándares elevados y una cultura de calidad.</w:t>
      </w:r>
    </w:p>
    <w:p w14:paraId="31378EC5" w14:textId="2CC72A0F" w:rsidR="00E3132B" w:rsidRPr="00232EBB" w:rsidRDefault="00E3132B" w:rsidP="000E2299">
      <w:pPr>
        <w:pStyle w:val="ListParagraph"/>
        <w:numPr>
          <w:ilvl w:val="0"/>
          <w:numId w:val="22"/>
        </w:numPr>
        <w:spacing w:line="360" w:lineRule="auto"/>
        <w:rPr>
          <w:rFonts w:ascii="Times New Roman" w:eastAsiaTheme="minorHAnsi" w:hAnsi="Times New Roman"/>
          <w:color w:val="767171"/>
          <w:spacing w:val="20"/>
          <w:sz w:val="24"/>
          <w:szCs w:val="24"/>
          <w:lang w:val="es-ES"/>
        </w:rPr>
      </w:pPr>
      <w:r w:rsidRPr="00232EBB">
        <w:rPr>
          <w:rFonts w:ascii="Times New Roman" w:eastAsiaTheme="minorHAnsi" w:hAnsi="Times New Roman"/>
          <w:color w:val="767171"/>
          <w:spacing w:val="20"/>
          <w:sz w:val="24"/>
          <w:szCs w:val="24"/>
          <w:lang w:val="es-ES"/>
        </w:rPr>
        <w:t>Autoevaluación CAF: Alcanzamos un 100 %, demostrando la madurez institucional en la gestión de calidad y gobernanza.</w:t>
      </w:r>
    </w:p>
    <w:p w14:paraId="3B6CFA80" w14:textId="364CF050" w:rsidR="00E3132B" w:rsidRPr="00232EBB" w:rsidRDefault="00E3132B" w:rsidP="000E2299">
      <w:pPr>
        <w:pStyle w:val="ListParagraph"/>
        <w:numPr>
          <w:ilvl w:val="0"/>
          <w:numId w:val="22"/>
        </w:numPr>
        <w:spacing w:line="360" w:lineRule="auto"/>
        <w:rPr>
          <w:rFonts w:ascii="Times New Roman" w:eastAsiaTheme="minorHAnsi" w:hAnsi="Times New Roman"/>
          <w:color w:val="767171"/>
          <w:spacing w:val="20"/>
          <w:sz w:val="24"/>
          <w:szCs w:val="24"/>
          <w:lang w:val="es-ES"/>
        </w:rPr>
      </w:pPr>
      <w:r w:rsidRPr="00232EBB">
        <w:rPr>
          <w:rFonts w:ascii="Times New Roman" w:eastAsiaTheme="minorHAnsi" w:hAnsi="Times New Roman"/>
          <w:color w:val="767171"/>
          <w:spacing w:val="20"/>
          <w:sz w:val="24"/>
          <w:szCs w:val="24"/>
          <w:lang w:val="es-ES"/>
        </w:rPr>
        <w:t>Estandarización de Procesos: Avanzamos en la formalización y optimización de procedimientos internos, asegurando mayor eficiencia y transparencia.</w:t>
      </w:r>
    </w:p>
    <w:p w14:paraId="5ED2DFA8" w14:textId="226F1F25" w:rsidR="00E3132B" w:rsidRPr="00232EBB" w:rsidRDefault="00E3132B" w:rsidP="000E2299">
      <w:pPr>
        <w:pStyle w:val="ListParagraph"/>
        <w:numPr>
          <w:ilvl w:val="0"/>
          <w:numId w:val="22"/>
        </w:numPr>
        <w:spacing w:line="360" w:lineRule="auto"/>
        <w:rPr>
          <w:rFonts w:ascii="Times New Roman" w:eastAsiaTheme="minorHAnsi" w:hAnsi="Times New Roman"/>
          <w:color w:val="767171"/>
          <w:spacing w:val="20"/>
          <w:sz w:val="24"/>
          <w:szCs w:val="24"/>
          <w:lang w:val="es-ES"/>
        </w:rPr>
      </w:pPr>
      <w:r w:rsidRPr="00232EBB">
        <w:rPr>
          <w:rFonts w:ascii="Times New Roman" w:eastAsiaTheme="minorHAnsi" w:hAnsi="Times New Roman"/>
          <w:color w:val="767171"/>
          <w:spacing w:val="20"/>
          <w:sz w:val="24"/>
          <w:szCs w:val="24"/>
          <w:lang w:val="es-ES"/>
        </w:rPr>
        <w:t xml:space="preserve">Carta Compromiso al Ciudadano: Hemos actualizado nuestra carta compromiso, extendiendo su vigencia de junio de 2025 a junio de 2027. La nueva versión es más didáctica e interactiva para las localidades e incorpora un código QR para acceder a nuestra encuesta de satisfacción. </w:t>
      </w:r>
    </w:p>
    <w:p w14:paraId="5ADB2418" w14:textId="77777777" w:rsidR="00E3132B" w:rsidRPr="00232EBB" w:rsidRDefault="00E3132B" w:rsidP="00E3132B">
      <w:pPr>
        <w:spacing w:line="360" w:lineRule="auto"/>
        <w:jc w:val="both"/>
        <w:rPr>
          <w:lang w:val="es-ES"/>
        </w:rPr>
      </w:pPr>
      <w:r w:rsidRPr="00232EBB">
        <w:rPr>
          <w:lang w:val="es-ES"/>
        </w:rPr>
        <w:t>Asimismo, se añadieron los servicios de Capacitaciones, Acuerdos de Pago y Solicitud de Alta de Empleador, lo que nos permite comprometernos con atributos de profesionalidad en las capacitaciones y con tiempos de respuesta para los demás servicios, garantizando así la transparencia institucional. La carta compromiso fue actualizada conforme a nuestra misión, visión y valores, alineados al Plan Estratégico Institucional 2025–2028.</w:t>
      </w:r>
    </w:p>
    <w:p w14:paraId="2404946C" w14:textId="621898A0" w:rsidR="00E3132B" w:rsidRPr="00232EBB" w:rsidRDefault="00747056" w:rsidP="00F65B16">
      <w:pPr>
        <w:spacing w:line="360" w:lineRule="auto"/>
        <w:jc w:val="center"/>
        <w:rPr>
          <w:lang w:val="es-ES"/>
        </w:rPr>
      </w:pPr>
      <w:r w:rsidRPr="00232EBB">
        <w:rPr>
          <w:noProof/>
        </w:rPr>
        <w:drawing>
          <wp:inline distT="0" distB="0" distL="0" distR="0" wp14:anchorId="64A41481" wp14:editId="40380626">
            <wp:extent cx="3955138" cy="2414905"/>
            <wp:effectExtent l="0" t="0" r="7620" b="4445"/>
            <wp:docPr id="2024036583" name="Imagen 1" descr="Interfaz de usuario gráfica,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409040" name="Imagen 1" descr="Interfaz de usuario gráfica, Texto&#10;&#10;El contenido generado por IA puede ser incorrecto."/>
                    <pic:cNvPicPr/>
                  </pic:nvPicPr>
                  <pic:blipFill>
                    <a:blip r:embed="rId55"/>
                    <a:stretch>
                      <a:fillRect/>
                    </a:stretch>
                  </pic:blipFill>
                  <pic:spPr>
                    <a:xfrm>
                      <a:off x="0" y="0"/>
                      <a:ext cx="3985105" cy="2433202"/>
                    </a:xfrm>
                    <a:prstGeom prst="rect">
                      <a:avLst/>
                    </a:prstGeom>
                  </pic:spPr>
                </pic:pic>
              </a:graphicData>
            </a:graphic>
          </wp:inline>
        </w:drawing>
      </w:r>
    </w:p>
    <w:p w14:paraId="3BB941C1" w14:textId="2CD99030" w:rsidR="005259E7" w:rsidRPr="00232EBB" w:rsidRDefault="005259E7" w:rsidP="005259E7">
      <w:pPr>
        <w:spacing w:line="360" w:lineRule="auto"/>
        <w:jc w:val="both"/>
        <w:rPr>
          <w:rFonts w:eastAsia="Calibri"/>
          <w:b/>
          <w:bCs/>
          <w:noProof/>
          <w:lang w:val="es-DO"/>
        </w:rPr>
      </w:pPr>
      <w:r w:rsidRPr="00232EBB">
        <w:rPr>
          <w:b/>
          <w:color w:val="808080" w:themeColor="background1" w:themeShade="80"/>
          <w:sz w:val="18"/>
          <w:szCs w:val="20"/>
          <w:lang w:val="es-ES"/>
        </w:rPr>
        <w:t xml:space="preserve">Imagen </w:t>
      </w:r>
      <w:r w:rsidR="00C45649" w:rsidRPr="00232EBB">
        <w:rPr>
          <w:b/>
          <w:color w:val="808080" w:themeColor="background1" w:themeShade="80"/>
          <w:sz w:val="18"/>
          <w:szCs w:val="20"/>
          <w:lang w:val="es-ES"/>
        </w:rPr>
        <w:t>5</w:t>
      </w:r>
      <w:r w:rsidRPr="00232EBB">
        <w:rPr>
          <w:b/>
          <w:color w:val="808080" w:themeColor="background1" w:themeShade="80"/>
          <w:sz w:val="18"/>
          <w:szCs w:val="20"/>
          <w:lang w:val="es-ES"/>
        </w:rPr>
        <w:t>:</w:t>
      </w:r>
      <w:r w:rsidRPr="00232EBB">
        <w:rPr>
          <w:color w:val="808080" w:themeColor="background1" w:themeShade="80"/>
          <w:sz w:val="18"/>
          <w:szCs w:val="20"/>
          <w:lang w:val="es-ES"/>
        </w:rPr>
        <w:t xml:space="preserve"> Carta al Ciudadano 2025</w:t>
      </w:r>
    </w:p>
    <w:p w14:paraId="116689E8" w14:textId="76C07D20" w:rsidR="00E3132B" w:rsidRPr="00232EBB" w:rsidRDefault="00E3132B" w:rsidP="00E3132B">
      <w:pPr>
        <w:spacing w:line="360" w:lineRule="auto"/>
        <w:jc w:val="both"/>
        <w:rPr>
          <w:rFonts w:eastAsia="Calibri"/>
          <w:b/>
          <w:bCs/>
          <w:noProof/>
          <w:lang w:val="es-DO"/>
        </w:rPr>
      </w:pPr>
      <w:r w:rsidRPr="00232EBB">
        <w:rPr>
          <w:rFonts w:eastAsia="Calibri"/>
          <w:b/>
          <w:bCs/>
          <w:noProof/>
          <w:lang w:val="es-DO"/>
        </w:rPr>
        <w:lastRenderedPageBreak/>
        <w:t xml:space="preserve">Manual de Organización y Funciones </w:t>
      </w:r>
    </w:p>
    <w:p w14:paraId="25C555B6" w14:textId="77777777" w:rsidR="00E3132B" w:rsidRPr="00232EBB" w:rsidRDefault="00E3132B" w:rsidP="00E3132B">
      <w:pPr>
        <w:spacing w:line="360" w:lineRule="auto"/>
        <w:jc w:val="both"/>
        <w:rPr>
          <w:lang w:val="es-ES"/>
        </w:rPr>
      </w:pPr>
      <w:r w:rsidRPr="00232EBB">
        <w:rPr>
          <w:lang w:val="es-ES"/>
        </w:rPr>
        <w:t>Mediante la resolución 03-2025 fue aprobado el Manual de Organización y Funciones de la Tesorería de la Seguridad Social detallándose la descripción de las unidades organizativas, sus competencias y funciones sirviendo como instrumento técnico institucional a la estructura organizacional aprobado.</w:t>
      </w:r>
    </w:p>
    <w:p w14:paraId="1E75E516" w14:textId="77777777" w:rsidR="00E3132B" w:rsidRPr="00232EBB" w:rsidRDefault="00E3132B" w:rsidP="00E3132B">
      <w:pPr>
        <w:spacing w:line="360" w:lineRule="auto"/>
        <w:jc w:val="both"/>
        <w:rPr>
          <w:lang w:val="es-ES"/>
        </w:rPr>
      </w:pPr>
      <w:r w:rsidRPr="00232EBB">
        <w:rPr>
          <w:lang w:val="es-ES"/>
        </w:rPr>
        <w:t>Estos logros son el resultado del trabajo colectivo orientado a fortalecer la cultura de calidad, garantizar servicios accesibles e inclusivos, y consolidar la gestión institucional como referente en el sector público.</w:t>
      </w:r>
    </w:p>
    <w:p w14:paraId="1A451CF5" w14:textId="604AA547" w:rsidR="00E3132B" w:rsidRPr="00232EBB" w:rsidRDefault="00E3132B" w:rsidP="00E3132B">
      <w:pPr>
        <w:spacing w:line="360" w:lineRule="auto"/>
        <w:jc w:val="both"/>
        <w:rPr>
          <w:rFonts w:eastAsia="Calibri"/>
          <w:b/>
          <w:bCs/>
          <w:noProof/>
          <w:lang w:val="es-DO"/>
        </w:rPr>
      </w:pPr>
      <w:r w:rsidRPr="00232EBB">
        <w:rPr>
          <w:rFonts w:eastAsia="Calibri"/>
          <w:b/>
          <w:bCs/>
          <w:noProof/>
          <w:lang w:val="es-DO"/>
        </w:rPr>
        <w:t>Manual de Cargos Comunes y Típicos actualizado</w:t>
      </w:r>
    </w:p>
    <w:p w14:paraId="482FE114" w14:textId="7EAD531B" w:rsidR="00097B97" w:rsidRPr="00232EBB" w:rsidRDefault="00E3132B" w:rsidP="00E3132B">
      <w:pPr>
        <w:spacing w:line="360" w:lineRule="auto"/>
        <w:jc w:val="both"/>
        <w:rPr>
          <w:lang w:val="es-ES"/>
        </w:rPr>
      </w:pPr>
      <w:r w:rsidRPr="00232EBB">
        <w:rPr>
          <w:lang w:val="es-ES"/>
        </w:rPr>
        <w:t>Mediante la Resolución No. 05-2025 fue aprobado el Manual de Cargos Comunes y Típicos el cual representa un instrumento de apoyo para los procesos institucionales de reclutamiento, selección, inducción, capacitación, evaluación del desempeño y desarrollo del personal, contribuyendo a fortalecer la profesionalización, meritocracia y eficiencia en la gestión del talento humano de la Tesorería de la Seguridad Social</w:t>
      </w:r>
      <w:r w:rsidR="00097B97" w:rsidRPr="00232EBB">
        <w:rPr>
          <w:lang w:val="es-ES"/>
        </w:rPr>
        <w:t>.</w:t>
      </w:r>
    </w:p>
    <w:p w14:paraId="4BB9149F" w14:textId="3E8631CC" w:rsidR="000C47CC" w:rsidRPr="00232EBB" w:rsidRDefault="000C47CC" w:rsidP="005A76F1">
      <w:pPr>
        <w:pStyle w:val="Heading1"/>
        <w:spacing w:after="240" w:line="259" w:lineRule="auto"/>
        <w:jc w:val="both"/>
        <w:rPr>
          <w:rFonts w:cs="Times New Roman"/>
          <w:spacing w:val="0"/>
          <w:lang w:val="es-DO"/>
        </w:rPr>
      </w:pPr>
      <w:bookmarkStart w:id="264" w:name="_Toc216952266"/>
      <w:r w:rsidRPr="00232EBB">
        <w:rPr>
          <w:rFonts w:cs="Times New Roman"/>
          <w:spacing w:val="0"/>
          <w:lang w:val="es-DO"/>
        </w:rPr>
        <w:t>4.6 Desempeño del Área de Comunicaciones</w:t>
      </w:r>
      <w:bookmarkEnd w:id="263"/>
      <w:bookmarkEnd w:id="264"/>
    </w:p>
    <w:p w14:paraId="67936FDD" w14:textId="77777777" w:rsidR="004208C9" w:rsidRPr="00232EBB" w:rsidRDefault="004208C9" w:rsidP="004208C9">
      <w:pPr>
        <w:spacing w:line="360" w:lineRule="auto"/>
        <w:jc w:val="both"/>
        <w:rPr>
          <w:rFonts w:eastAsia="Calibri"/>
          <w:noProof/>
          <w:lang w:val="es-DO"/>
        </w:rPr>
      </w:pPr>
      <w:r w:rsidRPr="00232EBB">
        <w:rPr>
          <w:rFonts w:eastAsia="Calibri"/>
          <w:noProof/>
          <w:lang w:val="es-DO"/>
        </w:rPr>
        <w:t>El Departamento de Comunicaciones de la Tesorería de la Seguridad Social (TSS) constituye un área transversal a toda la organización, con la responsabilidad de apoyar a las distintas unidades institucionales en la difusión de sus logros y avances. Su propósito es contribuir al posicionamiento positivo de la TSS ante la ciudadanía, destacando el crecimiento de las recaudaciones del Sistema Dominicano de Seguridad Social (SDSS), el aumento sostenido de cotizantes, y los beneficios derivados del registro oportuno de empleadores y trabajadores.</w:t>
      </w:r>
    </w:p>
    <w:p w14:paraId="1E376068" w14:textId="77777777" w:rsidR="004208C9" w:rsidRPr="00232EBB" w:rsidRDefault="004208C9" w:rsidP="004208C9">
      <w:pPr>
        <w:spacing w:line="360" w:lineRule="auto"/>
        <w:jc w:val="both"/>
        <w:rPr>
          <w:rFonts w:eastAsia="Calibri"/>
          <w:noProof/>
          <w:lang w:val="es-DO"/>
        </w:rPr>
      </w:pPr>
      <w:r w:rsidRPr="00232EBB">
        <w:rPr>
          <w:rFonts w:eastAsia="Calibri"/>
          <w:noProof/>
          <w:lang w:val="es-DO"/>
        </w:rPr>
        <w:lastRenderedPageBreak/>
        <w:t>Este Departamento diseña estrategias de comunicación y genera contenidos para los diferentes canales institucionales. Además de los procesos administrativos propios, opera a través de tres áreas clave: comunicación digital, gestión de medios (prensa) y comunicación interna. Desde estas líneas de trabajo se han alcanzado importantes resultados que han favorecido el clima organizacional, reforzado el sentido de pertenencia entre los colaboradores, y promovido el conocimiento público sobre el rol de la TSS dentro del SDSS.</w:t>
      </w:r>
    </w:p>
    <w:p w14:paraId="4D7A3791" w14:textId="77777777" w:rsidR="004208C9" w:rsidRPr="00232EBB" w:rsidRDefault="004208C9" w:rsidP="004208C9">
      <w:pPr>
        <w:spacing w:line="360" w:lineRule="auto"/>
        <w:jc w:val="both"/>
        <w:rPr>
          <w:rFonts w:eastAsia="Calibri"/>
          <w:noProof/>
          <w:lang w:val="es-DO"/>
        </w:rPr>
      </w:pPr>
      <w:r w:rsidRPr="00232EBB">
        <w:rPr>
          <w:rFonts w:eastAsia="Calibri"/>
          <w:noProof/>
          <w:lang w:val="es-DO"/>
        </w:rPr>
        <w:t>Durante el 2025, el Departamento de Comunicaciones ha trabajado de forma estratégica y articulada en sus tres áreas operativas, logrando avances sustanciales en la proyección de la TSS hacia la ciudadanía, en el fortalecimiento del vínculo con los medios, y en la consolidación de la comunicación interna como motor del bienestar y la identidad organizacional.</w:t>
      </w:r>
    </w:p>
    <w:p w14:paraId="64B2A1F2" w14:textId="77777777" w:rsidR="004208C9" w:rsidRPr="00232EBB" w:rsidRDefault="004208C9" w:rsidP="004208C9">
      <w:pPr>
        <w:spacing w:line="360" w:lineRule="auto"/>
        <w:jc w:val="both"/>
        <w:rPr>
          <w:b/>
          <w:bCs/>
          <w:lang w:val="es-DO"/>
        </w:rPr>
      </w:pPr>
      <w:r w:rsidRPr="00232EBB">
        <w:rPr>
          <w:b/>
          <w:bCs/>
          <w:lang w:val="es-DO"/>
        </w:rPr>
        <w:t>Comunicación digital</w:t>
      </w:r>
    </w:p>
    <w:p w14:paraId="33FBACD0" w14:textId="77777777" w:rsidR="004208C9" w:rsidRPr="00232EBB" w:rsidRDefault="004208C9" w:rsidP="004208C9">
      <w:pPr>
        <w:spacing w:line="360" w:lineRule="auto"/>
        <w:jc w:val="both"/>
        <w:rPr>
          <w:rFonts w:eastAsia="Calibri"/>
          <w:noProof/>
          <w:lang w:val="es-DO"/>
        </w:rPr>
      </w:pPr>
      <w:r w:rsidRPr="00232EBB">
        <w:rPr>
          <w:rFonts w:eastAsia="Calibri"/>
          <w:noProof/>
          <w:lang w:val="es-DO"/>
        </w:rPr>
        <w:t>La TSS mantiene presencia activa en seis plataformas sociales: Instagram, X, LinkedIn, Facebook, YouTube y Threads. A través de estos canales se difunden, de forma continua, noticias institucionales, iniciativas, servicios y contenidos educativos dirigidos a trabajadores y empleadores.</w:t>
      </w:r>
    </w:p>
    <w:p w14:paraId="5921709E" w14:textId="77777777" w:rsidR="004208C9" w:rsidRPr="00232EBB" w:rsidRDefault="004208C9" w:rsidP="004208C9">
      <w:pPr>
        <w:spacing w:line="360" w:lineRule="auto"/>
        <w:jc w:val="both"/>
        <w:rPr>
          <w:b/>
          <w:bCs/>
          <w:lang w:val="es-DO"/>
        </w:rPr>
      </w:pPr>
      <w:r w:rsidRPr="00232EBB">
        <w:rPr>
          <w:b/>
          <w:bCs/>
          <w:lang w:val="es-DO"/>
        </w:rPr>
        <w:t>Entre las campañas destacadas del 2025 se encuentran:</w:t>
      </w:r>
    </w:p>
    <w:p w14:paraId="72EA3B0E" w14:textId="4E88C4C7" w:rsidR="004208C9" w:rsidRPr="00232EBB" w:rsidRDefault="004208C9" w:rsidP="000E2299">
      <w:pPr>
        <w:pStyle w:val="ListParagraph"/>
        <w:numPr>
          <w:ilvl w:val="0"/>
          <w:numId w:val="15"/>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Difusión de la nueva plataforma de servicios en línea.</w:t>
      </w:r>
    </w:p>
    <w:p w14:paraId="1EE88A3D" w14:textId="45BEA87C" w:rsidR="004208C9" w:rsidRPr="00232EBB" w:rsidRDefault="004208C9" w:rsidP="000E2299">
      <w:pPr>
        <w:pStyle w:val="ListParagraph"/>
        <w:numPr>
          <w:ilvl w:val="0"/>
          <w:numId w:val="15"/>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Cobertura de la apertura del Punto GOB San Cristóbal.</w:t>
      </w:r>
    </w:p>
    <w:p w14:paraId="5A0C0D44" w14:textId="3E528233" w:rsidR="004208C9" w:rsidRPr="00232EBB" w:rsidRDefault="004208C9" w:rsidP="000E2299">
      <w:pPr>
        <w:pStyle w:val="ListParagraph"/>
        <w:numPr>
          <w:ilvl w:val="0"/>
          <w:numId w:val="15"/>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Promoción del proceso de devolución de aportes por pagos en exceso y per cápitas no dispersadas del 2024.</w:t>
      </w:r>
    </w:p>
    <w:p w14:paraId="1B65D202" w14:textId="543EF198" w:rsidR="004208C9" w:rsidRPr="00232EBB" w:rsidRDefault="004208C9" w:rsidP="000E2299">
      <w:pPr>
        <w:pStyle w:val="ListParagraph"/>
        <w:numPr>
          <w:ilvl w:val="0"/>
          <w:numId w:val="15"/>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Apoyo a las capacitaciones sobre el uso del SUIR.</w:t>
      </w:r>
    </w:p>
    <w:p w14:paraId="2C364436" w14:textId="2E3BBBBE" w:rsidR="004208C9" w:rsidRPr="00232EBB" w:rsidRDefault="004208C9" w:rsidP="000E2299">
      <w:pPr>
        <w:pStyle w:val="ListParagraph"/>
        <w:numPr>
          <w:ilvl w:val="0"/>
          <w:numId w:val="15"/>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Y la campaña publicitaria “Hazlo en línea con la TSS”, que busca dar a conocer los canales digitales de la institución para la prestación de los servicios.</w:t>
      </w:r>
    </w:p>
    <w:p w14:paraId="38E388E9" w14:textId="77777777" w:rsidR="004208C9" w:rsidRPr="00232EBB" w:rsidRDefault="004208C9" w:rsidP="004208C9">
      <w:pPr>
        <w:spacing w:line="360" w:lineRule="auto"/>
        <w:jc w:val="both"/>
        <w:rPr>
          <w:rFonts w:eastAsia="Calibri"/>
          <w:noProof/>
          <w:lang w:val="es-DO"/>
        </w:rPr>
      </w:pPr>
      <w:r w:rsidRPr="00232EBB">
        <w:rPr>
          <w:rFonts w:eastAsia="Calibri"/>
          <w:noProof/>
          <w:lang w:val="es-DO"/>
        </w:rPr>
        <w:lastRenderedPageBreak/>
        <w:t>Asimismo, se desarrollaron las identidades visuales de los asistentes virtuales de la Tesorería de la Seguridad Social: Newton, científico de datos, y Tessa, asistente virtual de Servicios. Esta iniciativa fortaleció la coherencia visual de las plataformas digitales de la institución y aportó mayor claridad e identificación para los usuarios que interactúan con estos canales.</w:t>
      </w:r>
    </w:p>
    <w:p w14:paraId="0C081C74" w14:textId="77777777" w:rsidR="004208C9" w:rsidRPr="00232EBB" w:rsidRDefault="004208C9" w:rsidP="004208C9">
      <w:pPr>
        <w:spacing w:line="360" w:lineRule="auto"/>
        <w:jc w:val="both"/>
        <w:rPr>
          <w:rFonts w:eastAsia="Calibri"/>
          <w:noProof/>
          <w:lang w:val="es-DO"/>
        </w:rPr>
      </w:pPr>
      <w:r w:rsidRPr="00232EBB">
        <w:rPr>
          <w:rFonts w:eastAsia="Calibri"/>
          <w:noProof/>
          <w:lang w:val="es-DO"/>
        </w:rPr>
        <w:t>La página web institucional continúa siendo una herramienta de consulta clave. Se actualiza con notas de prensa, novedades, modificaciones en los servicios y apertura de nuevos canales de atención.</w:t>
      </w:r>
    </w:p>
    <w:p w14:paraId="2E383E65" w14:textId="77777777" w:rsidR="004208C9" w:rsidRPr="00232EBB" w:rsidRDefault="004208C9" w:rsidP="004208C9">
      <w:pPr>
        <w:spacing w:line="360" w:lineRule="auto"/>
        <w:jc w:val="both"/>
        <w:rPr>
          <w:rFonts w:eastAsia="Calibri"/>
          <w:noProof/>
          <w:lang w:val="es-DO"/>
        </w:rPr>
      </w:pPr>
      <w:r w:rsidRPr="00232EBB">
        <w:rPr>
          <w:rFonts w:eastAsia="Calibri"/>
          <w:noProof/>
          <w:lang w:val="es-DO"/>
        </w:rPr>
        <w:t>El enfoque de comunicación digital prioriza la cercanía, la sencillez y el lenguaje claro, con el objetivo de conectar con la ciudadanía, especialmente trabajadores y empleadores, e informar de manera accesible y efectiva.</w:t>
      </w:r>
    </w:p>
    <w:p w14:paraId="3EBE81A2" w14:textId="77777777" w:rsidR="004208C9" w:rsidRPr="00232EBB" w:rsidRDefault="004208C9" w:rsidP="004208C9">
      <w:pPr>
        <w:spacing w:line="360" w:lineRule="auto"/>
        <w:jc w:val="both"/>
        <w:rPr>
          <w:rFonts w:eastAsia="Calibri"/>
          <w:noProof/>
          <w:lang w:val="es-DO"/>
        </w:rPr>
      </w:pPr>
      <w:r w:rsidRPr="00232EBB">
        <w:rPr>
          <w:rFonts w:eastAsia="Calibri"/>
          <w:noProof/>
          <w:lang w:val="es-DO"/>
        </w:rPr>
        <w:t>Actualmente, las plataformas sociales de la TSS cuentan con las siguientes cifras de seguidores:</w:t>
      </w:r>
    </w:p>
    <w:p w14:paraId="2D7FEEA2" w14:textId="0C9E324F" w:rsidR="004208C9" w:rsidRPr="00232EBB" w:rsidRDefault="004208C9" w:rsidP="000E2299">
      <w:pPr>
        <w:pStyle w:val="ListParagraph"/>
        <w:numPr>
          <w:ilvl w:val="0"/>
          <w:numId w:val="16"/>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Instagram: 65,918</w:t>
      </w:r>
    </w:p>
    <w:p w14:paraId="1FF27AF8" w14:textId="187C3551" w:rsidR="004208C9" w:rsidRPr="00232EBB" w:rsidRDefault="004208C9" w:rsidP="000E2299">
      <w:pPr>
        <w:pStyle w:val="ListParagraph"/>
        <w:numPr>
          <w:ilvl w:val="0"/>
          <w:numId w:val="16"/>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X: 4,249</w:t>
      </w:r>
    </w:p>
    <w:p w14:paraId="346445D3" w14:textId="1AFBC674" w:rsidR="004208C9" w:rsidRPr="00232EBB" w:rsidRDefault="004208C9" w:rsidP="000E2299">
      <w:pPr>
        <w:pStyle w:val="ListParagraph"/>
        <w:numPr>
          <w:ilvl w:val="0"/>
          <w:numId w:val="16"/>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Facebook: 8,467</w:t>
      </w:r>
    </w:p>
    <w:p w14:paraId="05D77F4E" w14:textId="3A3CF158" w:rsidR="004208C9" w:rsidRPr="00232EBB" w:rsidRDefault="004208C9" w:rsidP="000E2299">
      <w:pPr>
        <w:pStyle w:val="ListParagraph"/>
        <w:numPr>
          <w:ilvl w:val="0"/>
          <w:numId w:val="16"/>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LinkedIn: 22,809</w:t>
      </w:r>
    </w:p>
    <w:p w14:paraId="373B8A09" w14:textId="54C0B745" w:rsidR="004208C9" w:rsidRPr="00232EBB" w:rsidRDefault="004208C9" w:rsidP="000E2299">
      <w:pPr>
        <w:pStyle w:val="ListParagraph"/>
        <w:numPr>
          <w:ilvl w:val="0"/>
          <w:numId w:val="16"/>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YouTube: 2,291</w:t>
      </w:r>
    </w:p>
    <w:p w14:paraId="022B45AD" w14:textId="42628FB5" w:rsidR="004208C9" w:rsidRPr="00232EBB" w:rsidRDefault="004208C9" w:rsidP="000E2299">
      <w:pPr>
        <w:pStyle w:val="ListParagraph"/>
        <w:numPr>
          <w:ilvl w:val="0"/>
          <w:numId w:val="16"/>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Threads: 10,700</w:t>
      </w:r>
    </w:p>
    <w:p w14:paraId="511CBF7C" w14:textId="77777777" w:rsidR="004208C9" w:rsidRPr="00232EBB" w:rsidRDefault="004208C9" w:rsidP="004208C9">
      <w:pPr>
        <w:spacing w:line="360" w:lineRule="auto"/>
        <w:jc w:val="both"/>
        <w:rPr>
          <w:rFonts w:eastAsia="Calibri"/>
          <w:noProof/>
          <w:lang w:val="es-DO"/>
        </w:rPr>
      </w:pPr>
      <w:r w:rsidRPr="00232EBB">
        <w:rPr>
          <w:rFonts w:eastAsia="Calibri"/>
          <w:noProof/>
          <w:lang w:val="es-DO"/>
        </w:rPr>
        <w:t>Hasta diciembre, se realizaron más de 2,000 publicaciones en las distintas plataformas. Además, se gestionaron 75 consultas ciudadanas a través del foro institucional, lo que fortaleció la atención digital y la educación sobre el correcto uso del SDSS.</w:t>
      </w:r>
    </w:p>
    <w:p w14:paraId="56EAD662" w14:textId="77777777" w:rsidR="004208C9" w:rsidRPr="00232EBB" w:rsidRDefault="004208C9" w:rsidP="004208C9">
      <w:pPr>
        <w:spacing w:line="360" w:lineRule="auto"/>
        <w:jc w:val="both"/>
        <w:rPr>
          <w:rFonts w:eastAsia="Calibri"/>
          <w:noProof/>
          <w:lang w:val="es-DO"/>
        </w:rPr>
      </w:pPr>
      <w:r w:rsidRPr="00232EBB">
        <w:rPr>
          <w:rFonts w:eastAsia="Calibri"/>
          <w:noProof/>
          <w:lang w:val="es-DO"/>
        </w:rPr>
        <w:t>Los esfuerzos en esta área han permitido un crecimiento sostenido de la comunidad en línea, así como una mejora en el posicionamiento institucional y el reconocimiento de la marca TSS.</w:t>
      </w:r>
    </w:p>
    <w:p w14:paraId="0A2F5262" w14:textId="77777777" w:rsidR="004208C9" w:rsidRPr="00232EBB" w:rsidRDefault="004208C9" w:rsidP="004208C9">
      <w:pPr>
        <w:spacing w:line="360" w:lineRule="auto"/>
        <w:jc w:val="both"/>
        <w:rPr>
          <w:b/>
          <w:bCs/>
          <w:lang w:val="es-DO"/>
        </w:rPr>
      </w:pPr>
      <w:r w:rsidRPr="00232EBB">
        <w:rPr>
          <w:b/>
          <w:bCs/>
          <w:lang w:val="es-DO"/>
        </w:rPr>
        <w:lastRenderedPageBreak/>
        <w:t>Gestión de medios (prensa)</w:t>
      </w:r>
    </w:p>
    <w:p w14:paraId="78E73EF4" w14:textId="17E0A626" w:rsidR="00E63B33" w:rsidRPr="00232EBB" w:rsidRDefault="004208C9" w:rsidP="00C547FF">
      <w:pPr>
        <w:spacing w:line="360" w:lineRule="auto"/>
        <w:jc w:val="both"/>
        <w:rPr>
          <w:rFonts w:eastAsia="Calibri"/>
          <w:noProof/>
          <w:lang w:val="es-DO"/>
        </w:rPr>
      </w:pPr>
      <w:r w:rsidRPr="00232EBB">
        <w:rPr>
          <w:rFonts w:eastAsia="Calibri"/>
          <w:noProof/>
          <w:lang w:val="es-DO"/>
        </w:rPr>
        <w:t>Durante el 2025, el Departamento elaboró 18 notas de prensa y, con difusión en periódicos impresos, más de 23 medios digitales y el portal web institucional.</w:t>
      </w:r>
    </w:p>
    <w:p w14:paraId="232975A3" w14:textId="19309C42" w:rsidR="004208C9" w:rsidRPr="00232EBB" w:rsidRDefault="004208C9" w:rsidP="004208C9">
      <w:pPr>
        <w:spacing w:line="360" w:lineRule="auto"/>
        <w:jc w:val="both"/>
        <w:rPr>
          <w:rFonts w:eastAsia="Calibri"/>
          <w:noProof/>
          <w:lang w:val="es-DO"/>
        </w:rPr>
      </w:pPr>
      <w:r w:rsidRPr="00232EBB">
        <w:rPr>
          <w:rFonts w:eastAsia="Calibri"/>
          <w:noProof/>
          <w:lang w:val="es-DO"/>
        </w:rPr>
        <w:t>Los temas abordados incluyeron:</w:t>
      </w:r>
    </w:p>
    <w:p w14:paraId="0892A66A" w14:textId="25A062CC" w:rsidR="004208C9" w:rsidRPr="00232EBB" w:rsidRDefault="004208C9" w:rsidP="000E2299">
      <w:pPr>
        <w:pStyle w:val="ListParagraph"/>
        <w:numPr>
          <w:ilvl w:val="0"/>
          <w:numId w:val="19"/>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Actualización de los topes de cotización del régimen contributivo para 2025.</w:t>
      </w:r>
    </w:p>
    <w:p w14:paraId="7D06ECD2" w14:textId="7A1ACFBC" w:rsidR="004208C9" w:rsidRPr="00232EBB" w:rsidRDefault="004208C9" w:rsidP="000E2299">
      <w:pPr>
        <w:pStyle w:val="ListParagraph"/>
        <w:numPr>
          <w:ilvl w:val="0"/>
          <w:numId w:val="19"/>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Lanzamiento del nuevo portal de servicios para empleadores.</w:t>
      </w:r>
    </w:p>
    <w:p w14:paraId="0DB83CF6" w14:textId="2FD2EACE" w:rsidR="004208C9" w:rsidRPr="00232EBB" w:rsidRDefault="004208C9" w:rsidP="000E2299">
      <w:pPr>
        <w:pStyle w:val="ListParagraph"/>
        <w:numPr>
          <w:ilvl w:val="0"/>
          <w:numId w:val="19"/>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Proceso de devolución de aportes a trabajadores y empleadores.</w:t>
      </w:r>
    </w:p>
    <w:p w14:paraId="700768D4" w14:textId="62797F7B" w:rsidR="004208C9" w:rsidRPr="00232EBB" w:rsidRDefault="004208C9" w:rsidP="000E2299">
      <w:pPr>
        <w:pStyle w:val="ListParagraph"/>
        <w:numPr>
          <w:ilvl w:val="0"/>
          <w:numId w:val="19"/>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Aplicación de la resolución 624-02 del CNSS, para el cálculo de la cápita de dependientes adicionales.</w:t>
      </w:r>
    </w:p>
    <w:p w14:paraId="674D8772" w14:textId="77777777" w:rsidR="004208C9" w:rsidRPr="00232EBB" w:rsidRDefault="004208C9" w:rsidP="004208C9">
      <w:pPr>
        <w:spacing w:line="360" w:lineRule="auto"/>
        <w:jc w:val="both"/>
        <w:rPr>
          <w:rFonts w:eastAsia="Calibri"/>
          <w:noProof/>
          <w:lang w:val="es-DO"/>
        </w:rPr>
      </w:pPr>
      <w:r w:rsidRPr="00232EBB">
        <w:rPr>
          <w:rFonts w:eastAsia="Calibri"/>
          <w:noProof/>
          <w:lang w:val="es-DO"/>
        </w:rPr>
        <w:t>Asimismo, se difundieron informaciones sobre eventos institucionales como:</w:t>
      </w:r>
    </w:p>
    <w:p w14:paraId="24521920" w14:textId="6374B5E3" w:rsidR="004208C9" w:rsidRPr="00232EBB" w:rsidRDefault="004208C9" w:rsidP="000E2299">
      <w:pPr>
        <w:pStyle w:val="ListParagraph"/>
        <w:numPr>
          <w:ilvl w:val="0"/>
          <w:numId w:val="17"/>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Reconocimiento a doce colaboradores por su trayectoria en el servicio público.</w:t>
      </w:r>
    </w:p>
    <w:p w14:paraId="7C9AAC00" w14:textId="3E94FFA2" w:rsidR="004208C9" w:rsidRPr="00232EBB" w:rsidRDefault="004208C9" w:rsidP="000E2299">
      <w:pPr>
        <w:pStyle w:val="ListParagraph"/>
        <w:numPr>
          <w:ilvl w:val="0"/>
          <w:numId w:val="17"/>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Participación en el simposio “Reformando la Seguridad Social desde una Visión Legislativa”.</w:t>
      </w:r>
    </w:p>
    <w:p w14:paraId="54C571DC" w14:textId="5E4FD2B9" w:rsidR="004208C9" w:rsidRPr="00232EBB" w:rsidRDefault="004208C9" w:rsidP="000E2299">
      <w:pPr>
        <w:pStyle w:val="ListParagraph"/>
        <w:numPr>
          <w:ilvl w:val="0"/>
          <w:numId w:val="17"/>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Actividades conmemorativas de la Semana de la Seguridad Social.</w:t>
      </w:r>
    </w:p>
    <w:p w14:paraId="35ADFA7C" w14:textId="27EF200D" w:rsidR="004208C9" w:rsidRPr="00232EBB" w:rsidRDefault="004208C9" w:rsidP="000E2299">
      <w:pPr>
        <w:pStyle w:val="ListParagraph"/>
        <w:numPr>
          <w:ilvl w:val="0"/>
          <w:numId w:val="17"/>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Inicio de servicios en el Punto GOB San Cristóbal.</w:t>
      </w:r>
    </w:p>
    <w:p w14:paraId="6E6F40A9" w14:textId="627ED7C8" w:rsidR="004208C9" w:rsidRPr="00232EBB" w:rsidRDefault="004208C9" w:rsidP="000E2299">
      <w:pPr>
        <w:pStyle w:val="ListParagraph"/>
        <w:numPr>
          <w:ilvl w:val="0"/>
          <w:numId w:val="17"/>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Acto de ofrenda floral por el Mes de la Patria.</w:t>
      </w:r>
    </w:p>
    <w:p w14:paraId="3D107686" w14:textId="3C0E8610" w:rsidR="004208C9" w:rsidRPr="00232EBB" w:rsidRDefault="004208C9" w:rsidP="000E2299">
      <w:pPr>
        <w:pStyle w:val="ListParagraph"/>
        <w:numPr>
          <w:ilvl w:val="0"/>
          <w:numId w:val="17"/>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Acuerdo interinstitucional con INDOCAL.</w:t>
      </w:r>
    </w:p>
    <w:p w14:paraId="3B9FD882" w14:textId="0C567D3E" w:rsidR="004208C9" w:rsidRPr="00232EBB" w:rsidRDefault="004208C9" w:rsidP="000E2299">
      <w:pPr>
        <w:pStyle w:val="ListParagraph"/>
        <w:numPr>
          <w:ilvl w:val="0"/>
          <w:numId w:val="17"/>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Recolección y entrega de donativos a hogar de ancianos en Puerto Plata.</w:t>
      </w:r>
    </w:p>
    <w:p w14:paraId="7E41C74B" w14:textId="77777777" w:rsidR="004208C9" w:rsidRPr="00232EBB" w:rsidRDefault="004208C9" w:rsidP="004208C9">
      <w:pPr>
        <w:spacing w:line="360" w:lineRule="auto"/>
        <w:jc w:val="both"/>
        <w:rPr>
          <w:rFonts w:eastAsia="Calibri"/>
          <w:noProof/>
          <w:lang w:val="es-DO"/>
        </w:rPr>
      </w:pPr>
      <w:r w:rsidRPr="00232EBB">
        <w:rPr>
          <w:rFonts w:eastAsia="Calibri"/>
          <w:noProof/>
          <w:lang w:val="es-DO"/>
        </w:rPr>
        <w:t>Estos esfuerzos permitieron mantener activa la conversación sobre la TSS en medios de circulación nacional y consolidar su posicionamiento ante la opinión pública.</w:t>
      </w:r>
    </w:p>
    <w:p w14:paraId="3C8780CE" w14:textId="77777777" w:rsidR="004208C9" w:rsidRPr="00232EBB" w:rsidRDefault="004208C9" w:rsidP="004208C9">
      <w:pPr>
        <w:spacing w:line="360" w:lineRule="auto"/>
        <w:jc w:val="both"/>
        <w:rPr>
          <w:b/>
          <w:bCs/>
          <w:lang w:val="es-DO"/>
        </w:rPr>
      </w:pPr>
      <w:r w:rsidRPr="00232EBB">
        <w:rPr>
          <w:b/>
          <w:bCs/>
          <w:lang w:val="es-DO"/>
        </w:rPr>
        <w:t>Comunicación interna</w:t>
      </w:r>
    </w:p>
    <w:p w14:paraId="356542B7" w14:textId="77777777" w:rsidR="004208C9" w:rsidRPr="00232EBB" w:rsidRDefault="004208C9" w:rsidP="004208C9">
      <w:pPr>
        <w:spacing w:line="360" w:lineRule="auto"/>
        <w:jc w:val="both"/>
        <w:rPr>
          <w:rFonts w:eastAsia="Calibri"/>
          <w:noProof/>
          <w:lang w:val="es-DO"/>
        </w:rPr>
      </w:pPr>
      <w:r w:rsidRPr="00232EBB">
        <w:rPr>
          <w:rFonts w:eastAsia="Calibri"/>
          <w:noProof/>
          <w:lang w:val="es-DO"/>
        </w:rPr>
        <w:lastRenderedPageBreak/>
        <w:t>La comunicación interna ha sido una prioridad para fortalecer la cultura organizacional y promover un entorno de trabajo colaborativo y alineado con los valores institucionales.</w:t>
      </w:r>
    </w:p>
    <w:p w14:paraId="08BD4532" w14:textId="5A92855D" w:rsidR="004208C9" w:rsidRPr="00232EBB" w:rsidRDefault="004208C9" w:rsidP="00F65B16">
      <w:pPr>
        <w:rPr>
          <w:rFonts w:eastAsia="Calibri"/>
          <w:noProof/>
          <w:lang w:val="es-DO"/>
        </w:rPr>
      </w:pPr>
      <w:r w:rsidRPr="00232EBB">
        <w:rPr>
          <w:rFonts w:eastAsia="Calibri"/>
          <w:noProof/>
          <w:lang w:val="es-DO"/>
        </w:rPr>
        <w:t>Durante el semestre se ejecutaron las siguientes acciones:</w:t>
      </w:r>
    </w:p>
    <w:p w14:paraId="6014330E" w14:textId="4BED8690" w:rsidR="004208C9" w:rsidRPr="00232EBB" w:rsidRDefault="004208C9" w:rsidP="000E2299">
      <w:pPr>
        <w:pStyle w:val="ListParagraph"/>
        <w:numPr>
          <w:ilvl w:val="0"/>
          <w:numId w:val="18"/>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Envío de 310 comunicaciones digitales a través del correo institucional, con informaciones relevantes y formativas para los colaboradores.</w:t>
      </w:r>
    </w:p>
    <w:p w14:paraId="01F77A27" w14:textId="048BCA68" w:rsidR="004208C9" w:rsidRPr="00232EBB" w:rsidRDefault="004208C9" w:rsidP="000E2299">
      <w:pPr>
        <w:pStyle w:val="ListParagraph"/>
        <w:numPr>
          <w:ilvl w:val="0"/>
          <w:numId w:val="18"/>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Actualización continua de murales informativos con contenido de interés interno.</w:t>
      </w:r>
    </w:p>
    <w:p w14:paraId="0E15EA63" w14:textId="237E4FFF" w:rsidR="004208C9" w:rsidRPr="00232EBB" w:rsidRDefault="004208C9" w:rsidP="000E2299">
      <w:pPr>
        <w:pStyle w:val="ListParagraph"/>
        <w:numPr>
          <w:ilvl w:val="0"/>
          <w:numId w:val="18"/>
        </w:numPr>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Publicación mensual del boletín interno, con un resumen de actividades y logros institucionales.</w:t>
      </w:r>
    </w:p>
    <w:p w14:paraId="79CD7EA1" w14:textId="77777777" w:rsidR="004208C9" w:rsidRPr="00232EBB" w:rsidRDefault="004208C9" w:rsidP="004208C9">
      <w:pPr>
        <w:spacing w:line="360" w:lineRule="auto"/>
        <w:jc w:val="both"/>
        <w:rPr>
          <w:rFonts w:eastAsia="Calibri"/>
          <w:noProof/>
          <w:lang w:val="es-DO"/>
        </w:rPr>
      </w:pPr>
      <w:r w:rsidRPr="00232EBB">
        <w:rPr>
          <w:rFonts w:eastAsia="Calibri"/>
          <w:noProof/>
          <w:lang w:val="es-DO"/>
        </w:rPr>
        <w:t>Además, se impartieron 11 charlas de inducción a colaboradores de nuevo ingreso sobre la política de comunicación institucional, reforzando desde el inicio el sentido de identidad con la misión de la TSS.</w:t>
      </w:r>
    </w:p>
    <w:p w14:paraId="5B7FCCD7" w14:textId="77777777" w:rsidR="004208C9" w:rsidRPr="00232EBB" w:rsidRDefault="004208C9" w:rsidP="004208C9">
      <w:pPr>
        <w:spacing w:line="360" w:lineRule="auto"/>
        <w:jc w:val="both"/>
        <w:rPr>
          <w:rFonts w:eastAsia="Calibri"/>
          <w:noProof/>
          <w:lang w:val="es-DO"/>
        </w:rPr>
      </w:pPr>
      <w:r w:rsidRPr="00232EBB">
        <w:rPr>
          <w:rFonts w:eastAsia="Calibri"/>
          <w:noProof/>
          <w:lang w:val="es-DO"/>
        </w:rPr>
        <w:t>Se realizaron 25 coberturas fotográficas de actividades institucionales, tanto internas como externas, contribuyendo a la documentación visual del quehacer institucional y a la generación de contenidos para otros canales.</w:t>
      </w:r>
    </w:p>
    <w:p w14:paraId="50E232BD" w14:textId="77777777" w:rsidR="004208C9" w:rsidRPr="00232EBB" w:rsidRDefault="004208C9" w:rsidP="004208C9">
      <w:pPr>
        <w:spacing w:line="360" w:lineRule="auto"/>
        <w:jc w:val="both"/>
        <w:rPr>
          <w:rFonts w:eastAsia="Calibri"/>
          <w:noProof/>
          <w:lang w:val="es-DO"/>
        </w:rPr>
      </w:pPr>
      <w:r w:rsidRPr="00232EBB">
        <w:rPr>
          <w:rFonts w:eastAsia="Calibri"/>
          <w:noProof/>
          <w:lang w:val="es-DO"/>
        </w:rPr>
        <w:t>En reconocimiento a las acciones solidarias del personal, se difundieron historias como la de un colaborador voluntario del cuerpo de bomberos en la tragedia del Jet Set y otra colaboradora donante de leche materna al Banco de Leche Humana de la Maternidad Nuestra Señora de La Altagracia.</w:t>
      </w:r>
    </w:p>
    <w:p w14:paraId="2EF46DFF" w14:textId="10C16650" w:rsidR="000C47CC" w:rsidRPr="00232EBB" w:rsidRDefault="004208C9" w:rsidP="004208C9">
      <w:pPr>
        <w:spacing w:line="360" w:lineRule="auto"/>
        <w:jc w:val="both"/>
        <w:rPr>
          <w:rFonts w:eastAsia="Calibri"/>
          <w:noProof/>
          <w:lang w:val="es-DO"/>
        </w:rPr>
      </w:pPr>
      <w:r w:rsidRPr="00232EBB">
        <w:rPr>
          <w:rFonts w:eastAsia="Calibri"/>
          <w:noProof/>
          <w:lang w:val="es-DO"/>
        </w:rPr>
        <w:t>Como parte del fortalecimiento de la identidad visual, se rediseñó el Manual de Identidad Corporativa, creando por primera vez los lineamientos de uso de marca del SuirPlus; se actualizó el mural del Salón de Capacitaciones y se entregaron materiales de trabajo con la renovada filosofía institucional, con el fin de afianzar el posicionamiento de la marca TSS entre el público interno y externo.</w:t>
      </w:r>
    </w:p>
    <w:bookmarkStart w:id="265" w:name="_Toc216952267"/>
    <w:p w14:paraId="0A54B7AA" w14:textId="5AA7B161" w:rsidR="00DD7615" w:rsidRPr="00232EBB" w:rsidRDefault="00BC0B52" w:rsidP="00BC0B52">
      <w:pPr>
        <w:pStyle w:val="Heading1"/>
        <w:spacing w:after="240" w:line="259" w:lineRule="auto"/>
        <w:ind w:left="360" w:hanging="360"/>
        <w:rPr>
          <w:rFonts w:cs="Times New Roman"/>
          <w:spacing w:val="0"/>
          <w:lang w:val="es-DO"/>
        </w:rPr>
      </w:pPr>
      <w:r w:rsidRPr="00232EBB">
        <w:rPr>
          <w:rFonts w:eastAsia="Calibri" w:cs="Times New Roman"/>
          <w:noProof/>
          <w:color w:val="4C4747"/>
          <w:sz w:val="18"/>
        </w:rPr>
        <w:lastRenderedPageBreak/>
        <mc:AlternateContent>
          <mc:Choice Requires="wps">
            <w:drawing>
              <wp:anchor distT="0" distB="0" distL="114300" distR="114300" simplePos="0" relativeHeight="251658256" behindDoc="0" locked="0" layoutInCell="1" allowOverlap="1" wp14:anchorId="5B826A78" wp14:editId="62B8BC26">
                <wp:simplePos x="0" y="0"/>
                <wp:positionH relativeFrom="margin">
                  <wp:posOffset>2188032</wp:posOffset>
                </wp:positionH>
                <wp:positionV relativeFrom="paragraph">
                  <wp:posOffset>510997</wp:posOffset>
                </wp:positionV>
                <wp:extent cx="463550" cy="0"/>
                <wp:effectExtent l="22860" t="15875" r="18415" b="22225"/>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3550" cy="0"/>
                        </a:xfrm>
                        <a:prstGeom prst="line">
                          <a:avLst/>
                        </a:prstGeom>
                        <a:noFill/>
                        <a:ln w="28575" algn="ctr">
                          <a:solidFill>
                            <a:srgbClr val="EE2A24"/>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C08929" id="Straight Connector 3" o:spid="_x0000_s1026" style="position:absolute;z-index:251658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72.3pt,40.25pt" to="208.8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" strokecolor="#ee2a24" strokeweight="2.25pt">
                <v:stroke joinstyle="miter"/>
                <w10:wrap anchorx="margin"/>
              </v:line>
            </w:pict>
          </mc:Fallback>
        </mc:AlternateContent>
      </w:r>
      <w:r w:rsidRPr="00232EBB">
        <w:rPr>
          <w:rFonts w:cs="Times New Roman"/>
          <w:spacing w:val="0"/>
          <w:lang w:val="es-DO"/>
        </w:rPr>
        <w:t xml:space="preserve">V. </w:t>
      </w:r>
      <w:r w:rsidR="00DD7615" w:rsidRPr="00232EBB">
        <w:rPr>
          <w:rFonts w:cs="Times New Roman"/>
          <w:spacing w:val="0"/>
          <w:lang w:val="es-DO"/>
        </w:rPr>
        <w:t>SERVICIO AL CIUDADANO Y TRANSPARENCIA INSTITUCIONAL</w:t>
      </w:r>
      <w:bookmarkEnd w:id="265"/>
    </w:p>
    <w:p w14:paraId="5468EA26" w14:textId="057A9CAD" w:rsidR="00DD7615" w:rsidRPr="00232EBB" w:rsidRDefault="00DD7615" w:rsidP="00BC0B52">
      <w:pPr>
        <w:spacing w:before="240" w:after="240"/>
        <w:jc w:val="center"/>
        <w:rPr>
          <w:sz w:val="22"/>
          <w:szCs w:val="36"/>
          <w:lang w:val="es-DO"/>
        </w:rPr>
      </w:pPr>
      <w:r w:rsidRPr="00232EBB">
        <w:rPr>
          <w:sz w:val="22"/>
          <w:szCs w:val="36"/>
          <w:lang w:val="es-DO"/>
        </w:rPr>
        <w:t xml:space="preserve">Memoria </w:t>
      </w:r>
      <w:r w:rsidR="00F05DF4" w:rsidRPr="00232EBB">
        <w:rPr>
          <w:sz w:val="22"/>
          <w:szCs w:val="36"/>
          <w:lang w:val="es-DO"/>
        </w:rPr>
        <w:t>I</w:t>
      </w:r>
      <w:r w:rsidRPr="00232EBB">
        <w:rPr>
          <w:sz w:val="22"/>
          <w:szCs w:val="36"/>
          <w:lang w:val="es-DO"/>
        </w:rPr>
        <w:t xml:space="preserve">nstitucional </w:t>
      </w:r>
      <w:r w:rsidR="000025D4" w:rsidRPr="00232EBB">
        <w:rPr>
          <w:sz w:val="22"/>
          <w:szCs w:val="36"/>
          <w:lang w:val="es-DO"/>
        </w:rPr>
        <w:t>202</w:t>
      </w:r>
      <w:r w:rsidR="00A667A3" w:rsidRPr="00232EBB">
        <w:rPr>
          <w:sz w:val="22"/>
          <w:szCs w:val="36"/>
          <w:lang w:val="es-DO"/>
        </w:rPr>
        <w:t>5</w:t>
      </w:r>
    </w:p>
    <w:p w14:paraId="4F164E91" w14:textId="0BB478AE" w:rsidR="00BC0B52" w:rsidRPr="00232EBB" w:rsidRDefault="00BC0B52" w:rsidP="001E7BA6">
      <w:pPr>
        <w:pStyle w:val="Heading1"/>
        <w:spacing w:after="240" w:line="259" w:lineRule="auto"/>
        <w:ind w:left="360" w:hanging="375"/>
        <w:jc w:val="left"/>
        <w:rPr>
          <w:rFonts w:cs="Times New Roman"/>
          <w:spacing w:val="0"/>
          <w:lang w:val="es-DO"/>
        </w:rPr>
      </w:pPr>
      <w:bookmarkStart w:id="266" w:name="_Toc154736747"/>
      <w:bookmarkStart w:id="267" w:name="_Toc216952268"/>
      <w:r w:rsidRPr="00232EBB">
        <w:rPr>
          <w:rFonts w:cs="Times New Roman"/>
          <w:spacing w:val="0"/>
          <w:lang w:val="es-DO"/>
        </w:rPr>
        <w:t>5.1 Nivel de la Satisfacción con el Servicio</w:t>
      </w:r>
      <w:bookmarkEnd w:id="266"/>
      <w:bookmarkEnd w:id="267"/>
      <w:r w:rsidRPr="00232EBB">
        <w:rPr>
          <w:rFonts w:cs="Times New Roman"/>
          <w:spacing w:val="0"/>
          <w:lang w:val="es-DO"/>
        </w:rPr>
        <w:t xml:space="preserve">  </w:t>
      </w:r>
    </w:p>
    <w:p w14:paraId="4B701613" w14:textId="77777777" w:rsidR="008016B9" w:rsidRPr="00232EBB" w:rsidRDefault="008016B9" w:rsidP="004E5D6E">
      <w:pPr>
        <w:spacing w:line="360" w:lineRule="auto"/>
        <w:jc w:val="both"/>
        <w:rPr>
          <w:rFonts w:eastAsia="Calibri"/>
          <w:noProof/>
          <w:lang w:val="es-DO"/>
        </w:rPr>
      </w:pPr>
      <w:bookmarkStart w:id="268" w:name="_Toc154736750"/>
      <w:r w:rsidRPr="00232EBB">
        <w:rPr>
          <w:rFonts w:eastAsia="Calibri"/>
          <w:noProof/>
          <w:lang w:val="es-DO"/>
        </w:rPr>
        <w:t xml:space="preserve">La Dirección de Servicios se encarga de asistir a las empresas en los diferentes procesos del Sistema Único de Información y Recaudo (SuirPlus). Además, proporciona soporte para el registro de los trabajadores según la ley no. 87-01, que establece el Sistema Dominicano de Seguridad Social. Esto incluye el cumplimiento del régimen contributivo asegurando la confidencialidad de la información y la calidad del servicio. </w:t>
      </w:r>
    </w:p>
    <w:p w14:paraId="260BC26D" w14:textId="77777777" w:rsidR="008016B9" w:rsidRPr="00232EBB" w:rsidRDefault="008016B9" w:rsidP="004E5D6E">
      <w:pPr>
        <w:spacing w:line="360" w:lineRule="auto"/>
        <w:jc w:val="both"/>
        <w:rPr>
          <w:rFonts w:eastAsia="Calibri"/>
          <w:noProof/>
          <w:lang w:val="es-DO"/>
        </w:rPr>
      </w:pPr>
      <w:r w:rsidRPr="00232EBB">
        <w:rPr>
          <w:rFonts w:eastAsia="Calibri"/>
          <w:noProof/>
          <w:lang w:val="es-DO"/>
        </w:rPr>
        <w:t>Nuestro objetivo principal es garantizar una experiencia transformadora para los ciudadanos manteniendo los valores fundamentales de la institución, logrando así una asistencia oportuna y la facilitación de la gestión de pagos y el cumplimiento de los compromisos de nuestros empleadores con sus trabajadores.</w:t>
      </w:r>
    </w:p>
    <w:p w14:paraId="2C2E9C2D" w14:textId="77777777" w:rsidR="008016B9" w:rsidRPr="00232EBB" w:rsidRDefault="008016B9" w:rsidP="004E5D6E">
      <w:pPr>
        <w:pStyle w:val="Heading1"/>
        <w:spacing w:before="0" w:after="160"/>
        <w:jc w:val="both"/>
        <w:rPr>
          <w:rFonts w:cs="Times New Roman"/>
          <w:spacing w:val="0"/>
          <w:sz w:val="24"/>
          <w:szCs w:val="24"/>
          <w:lang w:val="es-DO"/>
        </w:rPr>
      </w:pPr>
      <w:bookmarkStart w:id="269" w:name="_Toc171677886"/>
      <w:bookmarkStart w:id="270" w:name="_Toc172119890"/>
      <w:bookmarkStart w:id="271" w:name="_Toc172120223"/>
      <w:bookmarkStart w:id="272" w:name="_Toc172121441"/>
      <w:bookmarkStart w:id="273" w:name="_Toc216952269"/>
      <w:r w:rsidRPr="00232EBB">
        <w:rPr>
          <w:rFonts w:cs="Times New Roman"/>
          <w:spacing w:val="0"/>
          <w:sz w:val="24"/>
          <w:szCs w:val="24"/>
          <w:lang w:val="es-DO"/>
        </w:rPr>
        <w:t>Importancia del Servicio</w:t>
      </w:r>
      <w:bookmarkEnd w:id="269"/>
      <w:bookmarkEnd w:id="270"/>
      <w:bookmarkEnd w:id="271"/>
      <w:bookmarkEnd w:id="272"/>
      <w:bookmarkEnd w:id="273"/>
    </w:p>
    <w:p w14:paraId="132A3641" w14:textId="77777777" w:rsidR="008016B9" w:rsidRPr="00232EBB" w:rsidRDefault="008016B9" w:rsidP="004E5D6E">
      <w:pPr>
        <w:pStyle w:val="ListParagraph"/>
        <w:numPr>
          <w:ilvl w:val="0"/>
          <w:numId w:val="43"/>
        </w:numPr>
        <w:spacing w:line="360" w:lineRule="auto"/>
        <w:rPr>
          <w:rFonts w:ascii="Times New Roman" w:hAnsi="Times New Roman"/>
          <w:noProof/>
          <w:color w:val="767171"/>
          <w:spacing w:val="20"/>
          <w:sz w:val="24"/>
          <w:szCs w:val="24"/>
          <w:lang w:val="es-ES"/>
        </w:rPr>
      </w:pPr>
      <w:r w:rsidRPr="00232EBB">
        <w:rPr>
          <w:rFonts w:ascii="Times New Roman" w:hAnsi="Times New Roman"/>
          <w:b/>
          <w:bCs/>
          <w:noProof/>
          <w:color w:val="767171"/>
          <w:spacing w:val="20"/>
          <w:sz w:val="24"/>
          <w:szCs w:val="24"/>
          <w:lang w:val="es-ES"/>
        </w:rPr>
        <w:t>Sostenibilidad del Sistema:</w:t>
      </w:r>
      <w:r w:rsidRPr="00232EBB">
        <w:rPr>
          <w:rFonts w:ascii="Times New Roman" w:hAnsi="Times New Roman"/>
          <w:noProof/>
          <w:color w:val="767171"/>
          <w:spacing w:val="20"/>
          <w:sz w:val="24"/>
          <w:szCs w:val="24"/>
          <w:lang w:val="es-ES"/>
        </w:rPr>
        <w:t xml:space="preserve"> Aumenta la base de contribuyentes, fortaleciendo la sostenibilidad financiera del sistema de seguridad social.</w:t>
      </w:r>
    </w:p>
    <w:p w14:paraId="55700F2A" w14:textId="77777777" w:rsidR="008016B9" w:rsidRPr="00232EBB" w:rsidRDefault="008016B9" w:rsidP="004E5D6E">
      <w:pPr>
        <w:pStyle w:val="ListParagraph"/>
        <w:numPr>
          <w:ilvl w:val="0"/>
          <w:numId w:val="43"/>
        </w:numPr>
        <w:spacing w:line="360" w:lineRule="auto"/>
        <w:rPr>
          <w:rFonts w:ascii="Times New Roman" w:hAnsi="Times New Roman"/>
          <w:noProof/>
          <w:color w:val="767171"/>
          <w:spacing w:val="20"/>
          <w:sz w:val="24"/>
          <w:szCs w:val="24"/>
          <w:lang w:val="es-ES"/>
        </w:rPr>
      </w:pPr>
      <w:r w:rsidRPr="00232EBB">
        <w:rPr>
          <w:rFonts w:ascii="Times New Roman" w:hAnsi="Times New Roman"/>
          <w:b/>
          <w:bCs/>
          <w:noProof/>
          <w:color w:val="767171"/>
          <w:spacing w:val="20"/>
          <w:sz w:val="24"/>
          <w:szCs w:val="24"/>
          <w:lang w:val="es-ES"/>
        </w:rPr>
        <w:t>Transparencia y Legalidad:</w:t>
      </w:r>
      <w:r w:rsidRPr="00232EBB">
        <w:rPr>
          <w:rFonts w:ascii="Times New Roman" w:hAnsi="Times New Roman"/>
          <w:noProof/>
          <w:color w:val="767171"/>
          <w:spacing w:val="20"/>
          <w:sz w:val="24"/>
          <w:szCs w:val="24"/>
          <w:lang w:val="es-ES"/>
        </w:rPr>
        <w:t xml:space="preserve"> Promueve la transparencia y asegura que las empresas operen dentro de los límites legales, evitando el trabajo informal.</w:t>
      </w:r>
    </w:p>
    <w:p w14:paraId="470296E6" w14:textId="77777777" w:rsidR="008016B9" w:rsidRPr="00232EBB" w:rsidRDefault="008016B9" w:rsidP="004E5D6E">
      <w:pPr>
        <w:pStyle w:val="ListParagraph"/>
        <w:numPr>
          <w:ilvl w:val="0"/>
          <w:numId w:val="43"/>
        </w:numPr>
        <w:spacing w:line="360" w:lineRule="auto"/>
        <w:rPr>
          <w:rFonts w:ascii="Times New Roman" w:hAnsi="Times New Roman"/>
          <w:noProof/>
          <w:color w:val="767171"/>
          <w:spacing w:val="20"/>
          <w:sz w:val="24"/>
          <w:szCs w:val="24"/>
          <w:lang w:val="es-ES"/>
        </w:rPr>
      </w:pPr>
      <w:r w:rsidRPr="00232EBB">
        <w:rPr>
          <w:rFonts w:ascii="Times New Roman" w:hAnsi="Times New Roman"/>
          <w:b/>
          <w:bCs/>
          <w:noProof/>
          <w:color w:val="767171"/>
          <w:spacing w:val="20"/>
          <w:sz w:val="24"/>
          <w:szCs w:val="24"/>
          <w:lang w:val="es-ES"/>
        </w:rPr>
        <w:t>Protección Social:</w:t>
      </w:r>
      <w:r w:rsidRPr="00232EBB">
        <w:rPr>
          <w:rFonts w:ascii="Times New Roman" w:hAnsi="Times New Roman"/>
          <w:noProof/>
          <w:color w:val="767171"/>
          <w:spacing w:val="20"/>
          <w:sz w:val="24"/>
          <w:szCs w:val="24"/>
          <w:lang w:val="es-ES"/>
        </w:rPr>
        <w:t xml:space="preserve"> Garantiza que los trabajadores reciban los beneficios a los que tienen derecho, como pensiones, seguro de salud, y otros servicios de seguridad social.</w:t>
      </w:r>
    </w:p>
    <w:p w14:paraId="4963CAD3" w14:textId="77777777" w:rsidR="008016B9" w:rsidRPr="00232EBB" w:rsidRDefault="008016B9" w:rsidP="004E5D6E">
      <w:pPr>
        <w:pStyle w:val="ListParagraph"/>
        <w:numPr>
          <w:ilvl w:val="0"/>
          <w:numId w:val="43"/>
        </w:numPr>
        <w:spacing w:line="360" w:lineRule="auto"/>
        <w:rPr>
          <w:rFonts w:ascii="Times New Roman" w:hAnsi="Times New Roman"/>
          <w:noProof/>
          <w:color w:val="767171"/>
          <w:spacing w:val="20"/>
          <w:sz w:val="24"/>
          <w:szCs w:val="24"/>
          <w:lang w:val="es-ES"/>
        </w:rPr>
      </w:pPr>
      <w:r w:rsidRPr="00232EBB">
        <w:rPr>
          <w:rFonts w:ascii="Times New Roman" w:hAnsi="Times New Roman"/>
          <w:b/>
          <w:bCs/>
          <w:noProof/>
          <w:color w:val="767171"/>
          <w:spacing w:val="20"/>
          <w:sz w:val="24"/>
          <w:szCs w:val="24"/>
          <w:lang w:val="es-ES"/>
        </w:rPr>
        <w:t>Mejora en la Recaudación:</w:t>
      </w:r>
      <w:r w:rsidRPr="00232EBB">
        <w:rPr>
          <w:rFonts w:ascii="Times New Roman" w:hAnsi="Times New Roman"/>
          <w:noProof/>
          <w:color w:val="767171"/>
          <w:spacing w:val="20"/>
          <w:sz w:val="24"/>
          <w:szCs w:val="24"/>
          <w:lang w:val="es-ES"/>
        </w:rPr>
        <w:t xml:space="preserve"> Facilita un flujo constante y predecible de ingresos al sistema de seguridad social, lo que permite una mejor planificación y distribución de recursos.</w:t>
      </w:r>
      <w:r w:rsidRPr="00232EBB">
        <w:rPr>
          <w:rFonts w:ascii="Times New Roman" w:hAnsi="Times New Roman"/>
          <w:noProof/>
          <w:szCs w:val="18"/>
        </w:rPr>
        <w:t xml:space="preserve"> </w:t>
      </w:r>
    </w:p>
    <w:p w14:paraId="1468CF41" w14:textId="77777777" w:rsidR="008016B9" w:rsidRPr="00232EBB" w:rsidRDefault="008016B9" w:rsidP="004E5D6E">
      <w:pPr>
        <w:pStyle w:val="Heading1"/>
        <w:spacing w:before="0" w:after="160"/>
        <w:jc w:val="both"/>
        <w:rPr>
          <w:rFonts w:cs="Times New Roman"/>
          <w:spacing w:val="0"/>
          <w:sz w:val="24"/>
          <w:szCs w:val="24"/>
          <w:lang w:val="es-DO"/>
        </w:rPr>
      </w:pPr>
      <w:bookmarkStart w:id="274" w:name="_Toc171677893"/>
      <w:bookmarkStart w:id="275" w:name="_Toc172119891"/>
      <w:bookmarkStart w:id="276" w:name="_Toc172120224"/>
      <w:bookmarkStart w:id="277" w:name="_Toc172121442"/>
      <w:bookmarkStart w:id="278" w:name="_Toc216952270"/>
      <w:r w:rsidRPr="00232EBB">
        <w:rPr>
          <w:rFonts w:cs="Times New Roman"/>
          <w:spacing w:val="0"/>
          <w:sz w:val="24"/>
          <w:szCs w:val="24"/>
          <w:lang w:val="es-DO"/>
        </w:rPr>
        <w:lastRenderedPageBreak/>
        <w:t>Actualización de Credenciales de la Tesorería de la Seguridad Social Dominicana</w:t>
      </w:r>
      <w:bookmarkEnd w:id="274"/>
      <w:bookmarkEnd w:id="275"/>
      <w:bookmarkEnd w:id="276"/>
      <w:bookmarkEnd w:id="277"/>
      <w:bookmarkEnd w:id="278"/>
      <w:r w:rsidRPr="00232EBB">
        <w:rPr>
          <w:rFonts w:cs="Times New Roman"/>
          <w:spacing w:val="0"/>
          <w:sz w:val="24"/>
          <w:szCs w:val="24"/>
          <w:lang w:val="es-DO"/>
        </w:rPr>
        <w:t xml:space="preserve"> </w:t>
      </w:r>
    </w:p>
    <w:p w14:paraId="13E3B8D9" w14:textId="77777777" w:rsidR="008016B9" w:rsidRPr="00232EBB" w:rsidRDefault="008016B9" w:rsidP="004E5D6E">
      <w:pPr>
        <w:spacing w:line="360" w:lineRule="auto"/>
        <w:jc w:val="both"/>
        <w:rPr>
          <w:rFonts w:eastAsia="Calibri"/>
          <w:noProof/>
          <w:lang w:val="es-DO"/>
        </w:rPr>
      </w:pPr>
      <w:r w:rsidRPr="00232EBB">
        <w:rPr>
          <w:rFonts w:eastAsia="Calibri"/>
          <w:noProof/>
          <w:lang w:val="es-DO"/>
        </w:rPr>
        <w:t xml:space="preserve">La solicitud de nuevos representantes implica la inscripción de nuevas personas autorizadas para gestionar trámites en nombre de una entidad o individuo ante la Tesorería de la Seguridad Social. </w:t>
      </w:r>
    </w:p>
    <w:p w14:paraId="22371435" w14:textId="77777777" w:rsidR="008016B9" w:rsidRPr="00232EBB" w:rsidRDefault="008016B9" w:rsidP="004E5D6E">
      <w:pPr>
        <w:spacing w:line="360" w:lineRule="auto"/>
        <w:jc w:val="both"/>
        <w:rPr>
          <w:rFonts w:eastAsia="Calibri"/>
          <w:noProof/>
          <w:lang w:val="es-DO"/>
        </w:rPr>
      </w:pPr>
      <w:r w:rsidRPr="00232EBB">
        <w:rPr>
          <w:rFonts w:eastAsia="Calibri"/>
          <w:noProof/>
          <w:lang w:val="es-DO"/>
        </w:rPr>
        <w:t>Este proceso incluye la verificación de la documentación, la validación de la identidad del representante y la actualización de los registros en el sistema. </w:t>
      </w:r>
    </w:p>
    <w:p w14:paraId="360EF1A6" w14:textId="666AFA94" w:rsidR="008016B9" w:rsidRPr="00232EBB" w:rsidRDefault="008016B9" w:rsidP="004E5D6E">
      <w:pPr>
        <w:spacing w:line="360" w:lineRule="auto"/>
        <w:jc w:val="both"/>
        <w:rPr>
          <w:rStyle w:val="eop"/>
          <w:noProof/>
          <w:sz w:val="22"/>
          <w:szCs w:val="22"/>
          <w:lang w:val="es-ES"/>
        </w:rPr>
      </w:pPr>
      <w:r w:rsidRPr="00232EBB">
        <w:rPr>
          <w:rFonts w:eastAsia="Calibri"/>
          <w:noProof/>
          <w:lang w:val="es-DO"/>
        </w:rPr>
        <w:t>En el año 2025, la Tesorería ha gestionado un total de 5,</w:t>
      </w:r>
      <w:r w:rsidR="004360F4">
        <w:rPr>
          <w:rFonts w:eastAsia="Calibri"/>
          <w:noProof/>
          <w:lang w:val="es-DO"/>
        </w:rPr>
        <w:t>477</w:t>
      </w:r>
      <w:r w:rsidRPr="00232EBB">
        <w:rPr>
          <w:rFonts w:eastAsia="Calibri"/>
          <w:noProof/>
          <w:lang w:val="es-DO"/>
        </w:rPr>
        <w:t xml:space="preserve"> solicitudes relacionadas con la</w:t>
      </w:r>
      <w:r w:rsidRPr="00232EBB">
        <w:rPr>
          <w:lang w:val="es-DO"/>
        </w:rPr>
        <w:t xml:space="preserve"> </w:t>
      </w:r>
      <w:r w:rsidRPr="00232EBB">
        <w:rPr>
          <w:rFonts w:eastAsia="Calibri"/>
          <w:noProof/>
          <w:lang w:val="es-DO"/>
        </w:rPr>
        <w:t>actualización de credenciales que se conforman por los siguientes tipos de solicitudes como son:</w:t>
      </w:r>
    </w:p>
    <w:p w14:paraId="76593036" w14:textId="351C77C8" w:rsidR="008016B9" w:rsidRPr="00232EBB" w:rsidRDefault="004360F4" w:rsidP="004E5D6E">
      <w:pPr>
        <w:spacing w:line="360" w:lineRule="auto"/>
        <w:jc w:val="center"/>
        <w:rPr>
          <w:lang w:val="es-ES"/>
        </w:rPr>
      </w:pPr>
      <w:r>
        <w:rPr>
          <w:noProof/>
        </w:rPr>
        <w:drawing>
          <wp:inline distT="0" distB="0" distL="0" distR="0" wp14:anchorId="202C0E6F" wp14:editId="468609CD">
            <wp:extent cx="4914900" cy="1661160"/>
            <wp:effectExtent l="0" t="0" r="0" b="0"/>
            <wp:docPr id="119162390" name="Picture 3" descr="A graph of blue and white bars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2390" name="Picture 3" descr="A graph of blue and white bars with numbers&#10;&#10;Description automatically generated"/>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914900" cy="1661160"/>
                    </a:xfrm>
                    <a:prstGeom prst="rect">
                      <a:avLst/>
                    </a:prstGeom>
                    <a:noFill/>
                  </pic:spPr>
                </pic:pic>
              </a:graphicData>
            </a:graphic>
          </wp:inline>
        </w:drawing>
      </w:r>
    </w:p>
    <w:p w14:paraId="569B8FB0" w14:textId="259CEAB9" w:rsidR="008016B9" w:rsidRPr="00232EBB" w:rsidRDefault="008016B9" w:rsidP="004E5D6E">
      <w:pPr>
        <w:spacing w:line="240" w:lineRule="auto"/>
        <w:jc w:val="both"/>
        <w:rPr>
          <w:rFonts w:eastAsia="Calibri"/>
          <w:noProof/>
          <w:sz w:val="18"/>
          <w:szCs w:val="18"/>
          <w:lang w:val="es-DO"/>
        </w:rPr>
      </w:pPr>
      <w:r w:rsidRPr="00232EBB">
        <w:rPr>
          <w:rFonts w:eastAsia="Calibri"/>
          <w:b/>
          <w:bCs/>
          <w:noProof/>
          <w:sz w:val="18"/>
          <w:szCs w:val="18"/>
          <w:lang w:val="es-DO"/>
        </w:rPr>
        <w:t xml:space="preserve">Gráfico </w:t>
      </w:r>
      <w:r w:rsidR="00A0068D" w:rsidRPr="00232EBB">
        <w:rPr>
          <w:rFonts w:eastAsia="Calibri"/>
          <w:b/>
          <w:bCs/>
          <w:noProof/>
          <w:sz w:val="18"/>
          <w:szCs w:val="18"/>
          <w:lang w:val="es-DO"/>
        </w:rPr>
        <w:t>2</w:t>
      </w:r>
      <w:r w:rsidR="000743EE" w:rsidRPr="00232EBB">
        <w:rPr>
          <w:rFonts w:eastAsia="Calibri"/>
          <w:b/>
          <w:bCs/>
          <w:noProof/>
          <w:sz w:val="18"/>
          <w:szCs w:val="18"/>
          <w:lang w:val="es-DO"/>
        </w:rPr>
        <w:t>8</w:t>
      </w:r>
      <w:r w:rsidRPr="00232EBB">
        <w:rPr>
          <w:rFonts w:eastAsia="Calibri"/>
          <w:noProof/>
          <w:sz w:val="18"/>
          <w:szCs w:val="18"/>
          <w:lang w:val="es-DO"/>
        </w:rPr>
        <w:t>: Actualización de credenciales SUIR Plus</w:t>
      </w:r>
    </w:p>
    <w:p w14:paraId="28E42762" w14:textId="3B027D51" w:rsidR="008016B9" w:rsidRPr="00232EBB" w:rsidRDefault="008016B9" w:rsidP="004E5D6E">
      <w:pPr>
        <w:spacing w:line="360" w:lineRule="auto"/>
        <w:jc w:val="both"/>
        <w:rPr>
          <w:rFonts w:eastAsia="Calibri"/>
          <w:noProof/>
          <w:lang w:val="es-DO"/>
        </w:rPr>
      </w:pPr>
      <w:r w:rsidRPr="00232EBB">
        <w:rPr>
          <w:rFonts w:eastAsia="Calibri"/>
          <w:b/>
          <w:bCs/>
          <w:noProof/>
          <w:lang w:val="es-DO"/>
        </w:rPr>
        <w:t>Creación de nuevo representante:</w:t>
      </w:r>
      <w:r w:rsidRPr="00232EBB">
        <w:rPr>
          <w:rFonts w:eastAsia="Calibri"/>
          <w:noProof/>
          <w:lang w:val="es-DO"/>
        </w:rPr>
        <w:t xml:space="preserve"> Solo aplica cuando el representante ha fallecido, el propietario pierde relación con el representante registrado o se ha determinado robo de identidad por terceros no reconocidos por el empleador.  </w:t>
      </w:r>
    </w:p>
    <w:p w14:paraId="53C7A946" w14:textId="77777777" w:rsidR="008016B9" w:rsidRPr="00232EBB" w:rsidRDefault="008016B9" w:rsidP="004E5D6E">
      <w:pPr>
        <w:spacing w:line="360" w:lineRule="auto"/>
        <w:jc w:val="both"/>
        <w:rPr>
          <w:rFonts w:eastAsia="Calibri"/>
          <w:noProof/>
          <w:lang w:val="es-DO"/>
        </w:rPr>
      </w:pPr>
      <w:r w:rsidRPr="00232EBB">
        <w:rPr>
          <w:rFonts w:eastAsia="Calibri"/>
          <w:b/>
          <w:bCs/>
          <w:noProof/>
          <w:lang w:val="es-DO"/>
        </w:rPr>
        <w:t>Modificación de correo de representante activo:</w:t>
      </w:r>
      <w:r w:rsidRPr="00232EBB">
        <w:rPr>
          <w:rFonts w:eastAsia="Calibri"/>
          <w:noProof/>
          <w:lang w:val="es-DO"/>
        </w:rPr>
        <w:t xml:space="preserve"> Consiste en actualizar la dirección de correo electrónico asociada al representante en los registros de la TSS cuando se ha determinado error en las actualizaciones propias del representante o recuperación de credenciales por inhabilitación o baja de la empresa. Esto es crucial para asegurar que las novedades el personal sean realizadas correctamente en el SUIR. </w:t>
      </w:r>
    </w:p>
    <w:p w14:paraId="2DB5D7FE" w14:textId="77777777" w:rsidR="008016B9" w:rsidRPr="00232EBB" w:rsidRDefault="008016B9" w:rsidP="004E5D6E">
      <w:pPr>
        <w:spacing w:line="360" w:lineRule="auto"/>
        <w:jc w:val="both"/>
        <w:rPr>
          <w:rFonts w:eastAsia="Calibri"/>
          <w:noProof/>
          <w:lang w:val="es-DO"/>
        </w:rPr>
      </w:pPr>
    </w:p>
    <w:p w14:paraId="342C04E4" w14:textId="088A4C1D" w:rsidR="008016B9" w:rsidRPr="00232EBB" w:rsidRDefault="004360F4" w:rsidP="004E5D6E">
      <w:pPr>
        <w:spacing w:line="360" w:lineRule="auto"/>
        <w:jc w:val="center"/>
        <w:rPr>
          <w:rFonts w:eastAsia="Calibri"/>
          <w:noProof/>
          <w:lang w:val="es-DO"/>
        </w:rPr>
      </w:pPr>
      <w:r>
        <w:rPr>
          <w:noProof/>
        </w:rPr>
        <w:drawing>
          <wp:inline distT="0" distB="0" distL="0" distR="0" wp14:anchorId="3C969BE0" wp14:editId="507E7E59">
            <wp:extent cx="4313555" cy="2556510"/>
            <wp:effectExtent l="0" t="0" r="0" b="0"/>
            <wp:docPr id="837517591" name="Picture 4" descr="A blue pie chart with a triangle in the midd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517591" name="Picture 4" descr="A blue pie chart with a triangle in the middle&#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313555" cy="2556510"/>
                    </a:xfrm>
                    <a:prstGeom prst="rect">
                      <a:avLst/>
                    </a:prstGeom>
                    <a:noFill/>
                  </pic:spPr>
                </pic:pic>
              </a:graphicData>
            </a:graphic>
          </wp:inline>
        </w:drawing>
      </w:r>
    </w:p>
    <w:p w14:paraId="17C45B99" w14:textId="73A55546" w:rsidR="008016B9" w:rsidRPr="00232EBB" w:rsidRDefault="008016B9" w:rsidP="004E5D6E">
      <w:pPr>
        <w:spacing w:line="360" w:lineRule="auto"/>
        <w:rPr>
          <w:rFonts w:eastAsia="Calibri"/>
          <w:noProof/>
          <w:sz w:val="18"/>
          <w:szCs w:val="18"/>
          <w:lang w:val="es-DO"/>
        </w:rPr>
      </w:pPr>
      <w:r w:rsidRPr="00232EBB">
        <w:rPr>
          <w:rFonts w:eastAsia="Calibri"/>
          <w:b/>
          <w:bCs/>
          <w:noProof/>
          <w:sz w:val="18"/>
          <w:szCs w:val="18"/>
          <w:lang w:val="es-DO"/>
        </w:rPr>
        <w:t xml:space="preserve">Gráfico </w:t>
      </w:r>
      <w:r w:rsidR="00C547FF" w:rsidRPr="00232EBB">
        <w:rPr>
          <w:rFonts w:eastAsia="Calibri"/>
          <w:b/>
          <w:bCs/>
          <w:noProof/>
          <w:sz w:val="18"/>
          <w:szCs w:val="18"/>
          <w:lang w:val="es-DO"/>
        </w:rPr>
        <w:t>2</w:t>
      </w:r>
      <w:r w:rsidR="000743EE" w:rsidRPr="00232EBB">
        <w:rPr>
          <w:rFonts w:eastAsia="Calibri"/>
          <w:b/>
          <w:bCs/>
          <w:noProof/>
          <w:sz w:val="18"/>
          <w:szCs w:val="18"/>
          <w:lang w:val="es-DO"/>
        </w:rPr>
        <w:t>9</w:t>
      </w:r>
      <w:r w:rsidRPr="00232EBB">
        <w:rPr>
          <w:rFonts w:eastAsia="Calibri"/>
          <w:noProof/>
          <w:sz w:val="18"/>
          <w:szCs w:val="18"/>
          <w:lang w:val="es-DO"/>
        </w:rPr>
        <w:t>: Actualización de credenciales SUIR Plus</w:t>
      </w:r>
    </w:p>
    <w:p w14:paraId="62FABBF8" w14:textId="77777777" w:rsidR="008016B9" w:rsidRPr="00232EBB" w:rsidRDefault="008016B9" w:rsidP="004E5D6E">
      <w:pPr>
        <w:spacing w:line="360" w:lineRule="auto"/>
        <w:jc w:val="both"/>
        <w:rPr>
          <w:rFonts w:eastAsia="Calibri"/>
          <w:noProof/>
          <w:lang w:val="es-DO"/>
        </w:rPr>
      </w:pPr>
      <w:r w:rsidRPr="00232EBB">
        <w:rPr>
          <w:rFonts w:eastAsia="Calibri"/>
          <w:noProof/>
          <w:lang w:val="es-DO"/>
        </w:rPr>
        <w:t>La gestión de solicitudes de actualización de credenciales se ha llevado a cabo de manera efectiva, permitiendo que los representantes mantengan sus datos actualizados y vigentes con un tiempo de procesamiento que varía dependiendo de la complejidad del caso por constituirse en un recurso alterno al servicio en línea existente donde, el propio empleador o representante vigente, puede autogestionar los cambios en el Sistema Único de Información y Recaudo cuando lo considere pertinente.</w:t>
      </w:r>
    </w:p>
    <w:p w14:paraId="480A0C8F" w14:textId="77777777" w:rsidR="008016B9" w:rsidRPr="00232EBB" w:rsidRDefault="008016B9" w:rsidP="004E5D6E">
      <w:pPr>
        <w:spacing w:line="360" w:lineRule="auto"/>
        <w:jc w:val="both"/>
        <w:rPr>
          <w:rFonts w:eastAsia="Calibri"/>
          <w:noProof/>
          <w:lang w:val="es-DO"/>
        </w:rPr>
      </w:pPr>
      <w:r w:rsidRPr="00232EBB">
        <w:rPr>
          <w:rFonts w:eastAsia="Calibri"/>
          <w:noProof/>
          <w:lang w:val="es-DO"/>
        </w:rPr>
        <w:t>El alto volumen de solicitudes requiere una capacidad de respuesta eficiente para evitar retrasos realizando una evaluación en base a la documentación adecuada, la identidad del solicitante y la seguridad de datos. </w:t>
      </w:r>
    </w:p>
    <w:p w14:paraId="4490A044" w14:textId="77777777" w:rsidR="008016B9" w:rsidRPr="00232EBB" w:rsidRDefault="008016B9" w:rsidP="004E5D6E">
      <w:pPr>
        <w:pStyle w:val="Heading1"/>
        <w:spacing w:before="0" w:after="160"/>
        <w:jc w:val="both"/>
        <w:rPr>
          <w:rFonts w:cs="Times New Roman"/>
          <w:spacing w:val="0"/>
          <w:sz w:val="24"/>
          <w:szCs w:val="24"/>
          <w:lang w:val="es-DO"/>
        </w:rPr>
      </w:pPr>
      <w:bookmarkStart w:id="279" w:name="_Toc171677894"/>
      <w:bookmarkStart w:id="280" w:name="_Toc172119892"/>
      <w:bookmarkStart w:id="281" w:name="_Toc172120225"/>
      <w:bookmarkStart w:id="282" w:name="_Toc172121443"/>
      <w:bookmarkStart w:id="283" w:name="_Toc216952271"/>
      <w:r w:rsidRPr="00232EBB">
        <w:rPr>
          <w:rFonts w:cs="Times New Roman"/>
          <w:spacing w:val="0"/>
          <w:sz w:val="24"/>
          <w:szCs w:val="24"/>
          <w:lang w:val="es-DO"/>
        </w:rPr>
        <w:t>Centro de Asistencia al Usuario.</w:t>
      </w:r>
      <w:bookmarkEnd w:id="279"/>
      <w:bookmarkEnd w:id="280"/>
      <w:bookmarkEnd w:id="281"/>
      <w:bookmarkEnd w:id="282"/>
      <w:bookmarkEnd w:id="283"/>
    </w:p>
    <w:p w14:paraId="7B613421" w14:textId="77777777" w:rsidR="008016B9" w:rsidRPr="00232EBB" w:rsidRDefault="008016B9" w:rsidP="004E5D6E">
      <w:pPr>
        <w:spacing w:line="360" w:lineRule="auto"/>
        <w:jc w:val="both"/>
        <w:rPr>
          <w:lang w:val="es-ES"/>
        </w:rPr>
      </w:pPr>
      <w:r w:rsidRPr="00232EBB">
        <w:rPr>
          <w:lang w:val="es-ES"/>
        </w:rPr>
        <w:t xml:space="preserve">El Centro de Asistencia al Usuario se encarga de brindar asistencias vía telefónica, chat, correo electrónico a las empresas en los diferentes procesos que se realizan dentro de nuestro Sistema Único de Información y Recaudo (SuirPlus), la ley 87-01, su marco normativo y resoluciones que inciden sobre el Seguro Familiar de </w:t>
      </w:r>
      <w:r w:rsidRPr="00232EBB">
        <w:rPr>
          <w:lang w:val="es-ES"/>
        </w:rPr>
        <w:lastRenderedPageBreak/>
        <w:t xml:space="preserve">Salud, Fondo de Pensiones y Seguro de Riesgo Laboral, entre otros. Manteniendo en las asistencias brindadas la disponibilidad de la información, confidencialidad y calidad en el servicio. </w:t>
      </w:r>
    </w:p>
    <w:p w14:paraId="5B19D79D" w14:textId="77777777" w:rsidR="008016B9" w:rsidRPr="00232EBB" w:rsidRDefault="008016B9" w:rsidP="004E5D6E">
      <w:pPr>
        <w:pStyle w:val="NormalWeb"/>
        <w:spacing w:before="0" w:beforeAutospacing="0" w:after="160" w:afterAutospacing="0" w:line="360" w:lineRule="auto"/>
        <w:jc w:val="both"/>
        <w:rPr>
          <w:rFonts w:eastAsiaTheme="majorEastAsia"/>
          <w:b/>
          <w:color w:val="767171" w:themeColor="background2" w:themeShade="80"/>
        </w:rPr>
      </w:pPr>
      <w:r w:rsidRPr="00232EBB">
        <w:rPr>
          <w:rFonts w:eastAsiaTheme="majorEastAsia"/>
          <w:b/>
          <w:color w:val="767171" w:themeColor="background2" w:themeShade="80"/>
        </w:rPr>
        <w:t>Objetivos e Indicadores de Servicios</w:t>
      </w:r>
    </w:p>
    <w:p w14:paraId="0971852B" w14:textId="77777777" w:rsidR="008016B9" w:rsidRPr="00232EBB" w:rsidRDefault="008016B9" w:rsidP="004E5D6E">
      <w:pPr>
        <w:spacing w:line="360" w:lineRule="auto"/>
        <w:jc w:val="both"/>
        <w:rPr>
          <w:rFonts w:eastAsia="Calibri"/>
          <w:noProof/>
          <w:lang w:val="es-DO"/>
        </w:rPr>
      </w:pPr>
      <w:r w:rsidRPr="00232EBB">
        <w:rPr>
          <w:rFonts w:eastAsia="Calibri"/>
          <w:noProof/>
          <w:lang w:val="es-DO"/>
        </w:rPr>
        <w:t xml:space="preserve">Como parte de nuestros objetivos hemos mejorado el tiempo de respuesta de nuestras asistencias, resultado de las implementaciones de nuevas medidas y aumento del personal, esto ha permitido elevar los niveles de satisfacción y calidad. Siendo nuestra finalidad alcanzar la implementación plena de una Cultura de Excelencia en el Servicio como principio de nuestro Sistema de Gestión de la Calidad Integrado. </w:t>
      </w:r>
    </w:p>
    <w:p w14:paraId="630E8202" w14:textId="77777777" w:rsidR="008016B9" w:rsidRPr="00232EBB" w:rsidRDefault="008016B9" w:rsidP="004E5D6E">
      <w:pPr>
        <w:spacing w:line="360" w:lineRule="auto"/>
        <w:jc w:val="both"/>
        <w:rPr>
          <w:rFonts w:eastAsia="Calibri"/>
          <w:noProof/>
          <w:lang w:val="es-DO"/>
        </w:rPr>
      </w:pPr>
      <w:r w:rsidRPr="00232EBB">
        <w:rPr>
          <w:rFonts w:eastAsia="Calibri"/>
          <w:noProof/>
          <w:lang w:val="es-DO"/>
        </w:rPr>
        <w:t>En la actualidad contamos con 22 colaboradores que asisten las llamadas entrantes, salientes, correos, TSS-Chat y otros, brindando respuestas efectivas con un conocimiento fortalecido a través de continuas capacitaciones, monitoreos de calidad y retroalimentaciones ante cualquier cambio.</w:t>
      </w:r>
    </w:p>
    <w:p w14:paraId="3E9E7A31" w14:textId="77777777" w:rsidR="008016B9" w:rsidRPr="00232EBB" w:rsidRDefault="008016B9" w:rsidP="004E5D6E">
      <w:pPr>
        <w:spacing w:line="360" w:lineRule="auto"/>
        <w:jc w:val="both"/>
        <w:rPr>
          <w:rFonts w:eastAsia="Calibri"/>
          <w:noProof/>
          <w:lang w:val="es-DO"/>
        </w:rPr>
      </w:pPr>
      <w:r w:rsidRPr="00232EBB">
        <w:rPr>
          <w:rFonts w:eastAsia="Calibri"/>
          <w:noProof/>
          <w:lang w:val="es-DO"/>
        </w:rPr>
        <w:t>Hemos alcanzado un alto porcentaje de llamadas exitosas en un mínimo de tiempo, en el periodo enero - diciembre del año 2025, recibiendo un total de ciento cincuenta y nueve mil ochocientas catorce (159,814) llamadas y   chats   para gestionar o tramitar los servicios de nuestra institución con una tasa de abandonado promedio de solo un 2%.</w:t>
      </w:r>
    </w:p>
    <w:p w14:paraId="60C2801E" w14:textId="77777777" w:rsidR="008016B9" w:rsidRPr="00232EBB" w:rsidRDefault="008016B9" w:rsidP="004E5D6E">
      <w:pPr>
        <w:spacing w:line="360" w:lineRule="auto"/>
        <w:jc w:val="both"/>
        <w:rPr>
          <w:rFonts w:eastAsia="Calibri"/>
          <w:noProof/>
          <w:lang w:val="es-DO"/>
        </w:rPr>
      </w:pPr>
      <w:r w:rsidRPr="00232EBB">
        <w:rPr>
          <w:rFonts w:eastAsia="Calibri"/>
          <w:noProof/>
          <w:lang w:val="es-DO"/>
        </w:rPr>
        <w:t xml:space="preserve">De los indicadores de gestión con un porcentaje esperado de 95 puntos, en este periodo hemos superado la meta logrando una tasa de éxito histórica del 98% de las asistencias entradas asistidas de forma exitosa. Continuamos superando nuestras propias proyecciones y estadísticas esperadas para así contribuir en nuestra política del Sistema de Gestión Integrado con la disponibilidad de los activos de la información y la satisfacción de las partes interesadas. </w:t>
      </w:r>
    </w:p>
    <w:p w14:paraId="7A4CA170" w14:textId="07CB01CE" w:rsidR="00A8614C" w:rsidRPr="00232EBB" w:rsidRDefault="00A8614C" w:rsidP="004E5D6E">
      <w:pPr>
        <w:pStyle w:val="Heading1"/>
        <w:spacing w:before="0" w:after="160" w:line="259" w:lineRule="auto"/>
        <w:jc w:val="both"/>
        <w:rPr>
          <w:rFonts w:cs="Times New Roman"/>
          <w:spacing w:val="0"/>
          <w:lang w:val="es-DO"/>
        </w:rPr>
      </w:pPr>
      <w:bookmarkStart w:id="284" w:name="_Toc216952272"/>
      <w:r w:rsidRPr="00232EBB">
        <w:rPr>
          <w:rFonts w:cs="Times New Roman"/>
          <w:spacing w:val="0"/>
          <w:lang w:val="es-DO"/>
        </w:rPr>
        <w:lastRenderedPageBreak/>
        <w:t>5.2 Nivel de Cumplimiento Acceso a la Información</w:t>
      </w:r>
      <w:bookmarkEnd w:id="268"/>
      <w:bookmarkEnd w:id="284"/>
    </w:p>
    <w:p w14:paraId="38C25AE5" w14:textId="77777777" w:rsidR="005609F5" w:rsidRPr="00232EBB" w:rsidRDefault="005609F5" w:rsidP="004E5D6E">
      <w:pPr>
        <w:spacing w:line="360" w:lineRule="auto"/>
        <w:jc w:val="both"/>
        <w:rPr>
          <w:rFonts w:eastAsia="Calibri"/>
          <w:noProof/>
          <w:lang w:val="es-DO"/>
        </w:rPr>
      </w:pPr>
      <w:r w:rsidRPr="00232EBB">
        <w:rPr>
          <w:rFonts w:eastAsia="Calibri"/>
          <w:noProof/>
          <w:lang w:val="es-DO"/>
        </w:rPr>
        <w:t>En el Depto. Acceso a la Información Pública estamos comprometidos a cumplir los mandatos establecidos en la Ley General de Libre Acceso a la Información Pública Ley No. 200-04, el Decreto No. 130-05 que crea el reglamento de dicha ley, la resolución No. DIGEIG-R-02-2017 y la Resolución DIGEIG No. 002-2021, con el objetivo de apoyar a entidades y personas tanto públicas como privadas otorgándoles las informaciones solicitadas, promoviendo así el buen hacer en el estado y una cultura de transparencia.</w:t>
      </w:r>
    </w:p>
    <w:p w14:paraId="1325E846" w14:textId="77777777" w:rsidR="005609F5" w:rsidRPr="00232EBB" w:rsidRDefault="005609F5" w:rsidP="004E5D6E">
      <w:pPr>
        <w:spacing w:line="360" w:lineRule="auto"/>
        <w:jc w:val="both"/>
        <w:rPr>
          <w:rFonts w:eastAsia="Calibri"/>
          <w:noProof/>
          <w:lang w:val="es-DO"/>
        </w:rPr>
      </w:pPr>
      <w:r w:rsidRPr="00232EBB">
        <w:rPr>
          <w:rFonts w:eastAsia="Calibri"/>
          <w:noProof/>
          <w:lang w:val="es-DO"/>
        </w:rPr>
        <w:t xml:space="preserve">Fundamentamos nuestro trabajo en la eficiencia, de manera que nuestras actuaciones se realizan optimizando el uso del tiempo, resolviendo los procedimientos en el plazo establecido por la Ley. </w:t>
      </w:r>
    </w:p>
    <w:p w14:paraId="63B27BCB" w14:textId="0F211925" w:rsidR="00581697" w:rsidRPr="00232EBB" w:rsidRDefault="00581697" w:rsidP="004E5D6E">
      <w:pPr>
        <w:spacing w:line="360" w:lineRule="auto"/>
        <w:rPr>
          <w:b/>
          <w:bCs/>
          <w:lang w:val="es-DO"/>
        </w:rPr>
      </w:pPr>
      <w:bookmarkStart w:id="285" w:name="_Toc171677896"/>
      <w:bookmarkStart w:id="286" w:name="_Toc172119894"/>
      <w:bookmarkStart w:id="287" w:name="_Toc172120227"/>
      <w:bookmarkStart w:id="288" w:name="_Toc172121445"/>
      <w:bookmarkStart w:id="289" w:name="_Toc154736751"/>
      <w:r w:rsidRPr="00232EBB">
        <w:rPr>
          <w:b/>
          <w:bCs/>
          <w:lang w:val="es-DO"/>
        </w:rPr>
        <w:t>Acciones para el Fortalecimiento Institucional</w:t>
      </w:r>
      <w:bookmarkEnd w:id="285"/>
      <w:bookmarkEnd w:id="286"/>
      <w:bookmarkEnd w:id="287"/>
      <w:bookmarkEnd w:id="288"/>
      <w:r w:rsidRPr="00232EBB">
        <w:rPr>
          <w:b/>
          <w:bCs/>
          <w:lang w:val="es-DO"/>
        </w:rPr>
        <w:t xml:space="preserve"> </w:t>
      </w:r>
    </w:p>
    <w:p w14:paraId="6977E696" w14:textId="77777777" w:rsidR="003F33A0" w:rsidRPr="00232EBB" w:rsidRDefault="00581697" w:rsidP="004E5D6E">
      <w:pPr>
        <w:spacing w:line="360" w:lineRule="auto"/>
        <w:jc w:val="both"/>
        <w:rPr>
          <w:b/>
          <w:bCs/>
          <w:lang w:val="es-DO"/>
        </w:rPr>
      </w:pPr>
      <w:bookmarkStart w:id="290" w:name="_Toc70427597"/>
      <w:bookmarkStart w:id="291" w:name="_Toc171677897"/>
      <w:bookmarkStart w:id="292" w:name="_Toc172119895"/>
      <w:bookmarkStart w:id="293" w:name="_Toc172120228"/>
      <w:bookmarkStart w:id="294" w:name="_Toc172121446"/>
      <w:r w:rsidRPr="00232EBB">
        <w:rPr>
          <w:b/>
          <w:bCs/>
          <w:lang w:val="es-DO"/>
        </w:rPr>
        <w:t>Formación servidores públicos</w:t>
      </w:r>
      <w:bookmarkEnd w:id="290"/>
      <w:bookmarkEnd w:id="291"/>
      <w:bookmarkEnd w:id="292"/>
      <w:bookmarkEnd w:id="293"/>
      <w:bookmarkEnd w:id="294"/>
      <w:r w:rsidRPr="00232EBB">
        <w:rPr>
          <w:b/>
          <w:bCs/>
          <w:lang w:val="es-DO"/>
        </w:rPr>
        <w:t xml:space="preserve"> </w:t>
      </w:r>
    </w:p>
    <w:p w14:paraId="3BD658F1" w14:textId="036F8CC4" w:rsidR="00581697" w:rsidRPr="00232EBB" w:rsidRDefault="00581697" w:rsidP="004E5D6E">
      <w:pPr>
        <w:spacing w:line="360" w:lineRule="auto"/>
        <w:jc w:val="both"/>
        <w:rPr>
          <w:rFonts w:eastAsia="Calibri"/>
          <w:noProof/>
          <w:lang w:val="es-DO"/>
        </w:rPr>
      </w:pPr>
      <w:r w:rsidRPr="00232EBB">
        <w:rPr>
          <w:rFonts w:eastAsia="Calibri"/>
          <w:noProof/>
          <w:lang w:val="es-DO"/>
        </w:rPr>
        <w:t>Como meta propuesta en nuestro POA 202</w:t>
      </w:r>
      <w:r w:rsidR="00830CF3" w:rsidRPr="00232EBB">
        <w:rPr>
          <w:rFonts w:eastAsia="Calibri"/>
          <w:noProof/>
          <w:lang w:val="es-DO"/>
        </w:rPr>
        <w:t>5</w:t>
      </w:r>
      <w:r w:rsidRPr="00232EBB">
        <w:rPr>
          <w:rFonts w:eastAsia="Calibri"/>
          <w:noProof/>
          <w:lang w:val="es-DO"/>
        </w:rPr>
        <w:t>, nos comprometimos en sensibilizar al 100% del personal de nuevo ingreso, labor que hasta al momento hemos estado realizando.</w:t>
      </w:r>
    </w:p>
    <w:p w14:paraId="291EF3F6" w14:textId="77777777" w:rsidR="00581697" w:rsidRPr="00232EBB" w:rsidRDefault="00581697" w:rsidP="004E5D6E">
      <w:pPr>
        <w:spacing w:line="360" w:lineRule="auto"/>
        <w:jc w:val="both"/>
        <w:rPr>
          <w:rFonts w:eastAsia="Calibri"/>
          <w:noProof/>
          <w:lang w:val="es-DO"/>
        </w:rPr>
      </w:pPr>
      <w:r w:rsidRPr="00232EBB">
        <w:rPr>
          <w:rFonts w:eastAsia="Calibri"/>
          <w:noProof/>
          <w:lang w:val="es-DO"/>
        </w:rPr>
        <w:t xml:space="preserve">Como parte de la promoción de una Cultura de Transparencia institucional, hemos realizado las sensibilizaciones siguientes: </w:t>
      </w:r>
    </w:p>
    <w:p w14:paraId="2381F91D" w14:textId="71A51283" w:rsidR="00581697" w:rsidRPr="00232EBB" w:rsidRDefault="00581697" w:rsidP="004F330B">
      <w:pPr>
        <w:numPr>
          <w:ilvl w:val="0"/>
          <w:numId w:val="20"/>
        </w:numPr>
        <w:spacing w:after="0" w:line="360" w:lineRule="auto"/>
        <w:contextualSpacing/>
        <w:jc w:val="both"/>
        <w:rPr>
          <w:rFonts w:eastAsia="Calibri"/>
          <w:noProof/>
          <w:lang w:val="es-DO"/>
        </w:rPr>
      </w:pPr>
      <w:r w:rsidRPr="00232EBB">
        <w:rPr>
          <w:rFonts w:eastAsia="Calibri"/>
          <w:noProof/>
          <w:lang w:val="es-DO"/>
        </w:rPr>
        <w:t xml:space="preserve">Sensibilización sobre la Ley General de Libre Acceso a la Información Pública, No. 200-04, y su reglamento no.130-05, a un total de 28 colaboradores que conforman el 100% del personal de nuevo ingreso para el periodo enero - </w:t>
      </w:r>
      <w:r w:rsidR="00110808" w:rsidRPr="00232EBB">
        <w:rPr>
          <w:rFonts w:eastAsia="Calibri"/>
          <w:noProof/>
          <w:lang w:val="es-DO"/>
        </w:rPr>
        <w:t>dic</w:t>
      </w:r>
      <w:r w:rsidRPr="00232EBB">
        <w:rPr>
          <w:rFonts w:eastAsia="Calibri"/>
          <w:noProof/>
          <w:lang w:val="es-DO"/>
        </w:rPr>
        <w:t xml:space="preserve">iembre.   </w:t>
      </w:r>
    </w:p>
    <w:p w14:paraId="176924ED" w14:textId="5266D839" w:rsidR="00581697" w:rsidRPr="00232EBB" w:rsidRDefault="00581697" w:rsidP="004F330B">
      <w:pPr>
        <w:numPr>
          <w:ilvl w:val="0"/>
          <w:numId w:val="5"/>
        </w:numPr>
        <w:spacing w:after="0" w:line="360" w:lineRule="auto"/>
        <w:contextualSpacing/>
        <w:jc w:val="both"/>
        <w:rPr>
          <w:rFonts w:eastAsia="Calibri"/>
          <w:noProof/>
          <w:lang w:val="es-DO"/>
        </w:rPr>
      </w:pPr>
      <w:r w:rsidRPr="00232EBB">
        <w:rPr>
          <w:rFonts w:eastAsia="Calibri"/>
          <w:noProof/>
          <w:lang w:val="es-DO"/>
        </w:rPr>
        <w:t>Se realizó una jornada masiva de capacitaci</w:t>
      </w:r>
      <w:r w:rsidR="00110808" w:rsidRPr="00232EBB">
        <w:rPr>
          <w:rFonts w:eastAsia="Calibri"/>
          <w:noProof/>
          <w:lang w:val="es-DO"/>
        </w:rPr>
        <w:t>ó</w:t>
      </w:r>
      <w:r w:rsidRPr="00232EBB">
        <w:rPr>
          <w:rFonts w:eastAsia="Calibri"/>
          <w:noProof/>
          <w:lang w:val="es-DO"/>
        </w:rPr>
        <w:t>n a todos los colaboradores sobre la usabilidad de la plataforma FirmaGob, como parte del proyecto de implementación de Firma Digital-TSS.</w:t>
      </w:r>
    </w:p>
    <w:p w14:paraId="0122F5E1" w14:textId="677252F8" w:rsidR="00581697" w:rsidRPr="00232EBB" w:rsidRDefault="00581697" w:rsidP="004F330B">
      <w:pPr>
        <w:numPr>
          <w:ilvl w:val="0"/>
          <w:numId w:val="5"/>
        </w:numPr>
        <w:spacing w:after="0" w:line="360" w:lineRule="auto"/>
        <w:contextualSpacing/>
        <w:jc w:val="both"/>
        <w:rPr>
          <w:rFonts w:eastAsia="Calibri"/>
          <w:noProof/>
          <w:lang w:val="es-DO"/>
        </w:rPr>
      </w:pPr>
      <w:r w:rsidRPr="00232EBB">
        <w:rPr>
          <w:rFonts w:eastAsia="Calibri"/>
          <w:noProof/>
          <w:lang w:val="es-DO"/>
        </w:rPr>
        <w:lastRenderedPageBreak/>
        <w:t>Se ejecutó una campaña de Programa de promoción de la cultura de transparencia institucional, Difusión de cápsulas informativas sobre la Ley General de Libre Acceso a la Información Pública No. 200-04, Datos Abiertos y L</w:t>
      </w:r>
      <w:r w:rsidR="00110808" w:rsidRPr="00232EBB">
        <w:rPr>
          <w:rFonts w:eastAsia="Calibri"/>
          <w:noProof/>
          <w:lang w:val="es-DO"/>
        </w:rPr>
        <w:t>í</w:t>
      </w:r>
      <w:r w:rsidRPr="00232EBB">
        <w:rPr>
          <w:rFonts w:eastAsia="Calibri"/>
          <w:noProof/>
          <w:lang w:val="es-DO"/>
        </w:rPr>
        <w:t>nea 311.</w:t>
      </w:r>
    </w:p>
    <w:p w14:paraId="5E15E0EB" w14:textId="77777777" w:rsidR="00581697" w:rsidRPr="00232EBB" w:rsidRDefault="00581697" w:rsidP="004F330B">
      <w:pPr>
        <w:numPr>
          <w:ilvl w:val="0"/>
          <w:numId w:val="5"/>
        </w:numPr>
        <w:spacing w:after="0" w:line="360" w:lineRule="auto"/>
        <w:contextualSpacing/>
        <w:jc w:val="both"/>
        <w:rPr>
          <w:rFonts w:eastAsia="Calibri"/>
          <w:noProof/>
          <w:lang w:val="es-DO"/>
        </w:rPr>
      </w:pPr>
      <w:r w:rsidRPr="00232EBB">
        <w:rPr>
          <w:rFonts w:eastAsia="Calibri"/>
          <w:noProof/>
          <w:lang w:val="es-DO"/>
        </w:rPr>
        <w:t>Se ejecutó una campaña de la difusión de cápsulas informativas sobre usabilidad y características de la firma digital.</w:t>
      </w:r>
    </w:p>
    <w:p w14:paraId="1309917B" w14:textId="7B0BA21A" w:rsidR="00581697" w:rsidRPr="00232EBB" w:rsidRDefault="00581697" w:rsidP="00581697">
      <w:pPr>
        <w:rPr>
          <w:b/>
          <w:bCs/>
          <w:lang w:val="es-DO"/>
        </w:rPr>
      </w:pPr>
      <w:r w:rsidRPr="00232EBB">
        <w:rPr>
          <w:b/>
          <w:bCs/>
          <w:lang w:val="es-DO"/>
        </w:rPr>
        <w:t>Participación en actividades externas</w:t>
      </w:r>
    </w:p>
    <w:p w14:paraId="711EC9FD" w14:textId="454A88D2" w:rsidR="00581697" w:rsidRPr="00232EBB" w:rsidRDefault="00581697" w:rsidP="00C13C0C">
      <w:pPr>
        <w:spacing w:after="0" w:line="360" w:lineRule="auto"/>
        <w:jc w:val="both"/>
        <w:rPr>
          <w:rFonts w:eastAsia="Calibri"/>
          <w:noProof/>
          <w:lang w:val="es-DO"/>
        </w:rPr>
      </w:pPr>
      <w:r w:rsidRPr="00232EBB">
        <w:rPr>
          <w:rFonts w:eastAsia="Calibri"/>
          <w:noProof/>
          <w:lang w:val="es-DO"/>
        </w:rPr>
        <w:t>Participamos en las actividades programas por la Dirección General de Ética a Integridad Gubernamental (DIGEIG), para enero-</w:t>
      </w:r>
      <w:r w:rsidR="00C13C0C" w:rsidRPr="00232EBB">
        <w:rPr>
          <w:rFonts w:eastAsia="Calibri"/>
          <w:noProof/>
          <w:lang w:val="es-DO"/>
        </w:rPr>
        <w:t>diciembre</w:t>
      </w:r>
      <w:r w:rsidRPr="00232EBB">
        <w:rPr>
          <w:rFonts w:eastAsia="Calibri"/>
          <w:noProof/>
          <w:lang w:val="es-DO"/>
        </w:rPr>
        <w:t xml:space="preserve"> 202</w:t>
      </w:r>
      <w:r w:rsidR="00C13C0C" w:rsidRPr="00232EBB">
        <w:rPr>
          <w:rFonts w:eastAsia="Calibri"/>
          <w:noProof/>
          <w:lang w:val="es-DO"/>
        </w:rPr>
        <w:t>5</w:t>
      </w:r>
      <w:r w:rsidRPr="00232EBB">
        <w:rPr>
          <w:rFonts w:eastAsia="Calibri"/>
          <w:noProof/>
          <w:lang w:val="es-DO"/>
        </w:rPr>
        <w:t>.</w:t>
      </w:r>
    </w:p>
    <w:p w14:paraId="4537D27D" w14:textId="77777777" w:rsidR="00581697" w:rsidRPr="00232EBB" w:rsidRDefault="00581697" w:rsidP="00581697">
      <w:pPr>
        <w:spacing w:after="0" w:line="360" w:lineRule="auto"/>
        <w:jc w:val="both"/>
        <w:rPr>
          <w:rFonts w:eastAsia="Calibri"/>
          <w:noProof/>
          <w:lang w:val="es-DO"/>
        </w:rPr>
      </w:pPr>
    </w:p>
    <w:p w14:paraId="0992EEB0" w14:textId="2B488496" w:rsidR="00581697" w:rsidRPr="00232EBB" w:rsidRDefault="00581697" w:rsidP="004E5D6E">
      <w:pPr>
        <w:numPr>
          <w:ilvl w:val="0"/>
          <w:numId w:val="5"/>
        </w:numPr>
        <w:spacing w:line="360" w:lineRule="auto"/>
        <w:contextualSpacing/>
        <w:jc w:val="both"/>
        <w:rPr>
          <w:rFonts w:eastAsia="Calibri"/>
          <w:noProof/>
          <w:lang w:val="es-DO"/>
        </w:rPr>
      </w:pPr>
      <w:r w:rsidRPr="00232EBB">
        <w:rPr>
          <w:rFonts w:eastAsia="Calibri"/>
          <w:noProof/>
          <w:lang w:val="es-DO"/>
        </w:rPr>
        <w:t>Participaci</w:t>
      </w:r>
      <w:r w:rsidR="00110808" w:rsidRPr="00232EBB">
        <w:rPr>
          <w:rFonts w:eastAsia="Calibri"/>
          <w:noProof/>
          <w:lang w:val="es-DO"/>
        </w:rPr>
        <w:t>ó</w:t>
      </w:r>
      <w:r w:rsidRPr="00232EBB">
        <w:rPr>
          <w:rFonts w:eastAsia="Calibri"/>
          <w:noProof/>
          <w:lang w:val="es-DO"/>
        </w:rPr>
        <w:t>n en  panel impartido por la Dra. Milagros Ortiz Bosch “El Perfil Ético del funcionario Público en un Contexto de Cambio Institucional”</w:t>
      </w:r>
      <w:r w:rsidR="00110808" w:rsidRPr="00232EBB">
        <w:rPr>
          <w:rFonts w:eastAsia="Calibri"/>
          <w:noProof/>
          <w:lang w:val="es-DO"/>
        </w:rPr>
        <w:t>.</w:t>
      </w:r>
    </w:p>
    <w:p w14:paraId="56614B99" w14:textId="2AEB9890" w:rsidR="00581697" w:rsidRPr="00232EBB" w:rsidRDefault="00581697" w:rsidP="004E5D6E">
      <w:pPr>
        <w:numPr>
          <w:ilvl w:val="0"/>
          <w:numId w:val="5"/>
        </w:numPr>
        <w:spacing w:line="360" w:lineRule="auto"/>
        <w:contextualSpacing/>
        <w:jc w:val="both"/>
        <w:rPr>
          <w:rFonts w:eastAsia="Calibri"/>
          <w:noProof/>
          <w:lang w:val="es-DO"/>
        </w:rPr>
      </w:pPr>
      <w:r w:rsidRPr="00232EBB">
        <w:rPr>
          <w:rFonts w:eastAsia="Calibri"/>
          <w:noProof/>
          <w:lang w:val="es-DO"/>
        </w:rPr>
        <w:t>Participaci</w:t>
      </w:r>
      <w:r w:rsidR="00110808" w:rsidRPr="00232EBB">
        <w:rPr>
          <w:rFonts w:eastAsia="Calibri"/>
          <w:noProof/>
          <w:lang w:val="es-DO"/>
        </w:rPr>
        <w:t>ó</w:t>
      </w:r>
      <w:r w:rsidRPr="00232EBB">
        <w:rPr>
          <w:rFonts w:eastAsia="Calibri"/>
          <w:noProof/>
          <w:lang w:val="es-DO"/>
        </w:rPr>
        <w:t>n en la actividad TusDatos; realizada en dentro del trimestre, en el Auditorio de la Policía Nacional</w:t>
      </w:r>
      <w:r w:rsidR="00110808" w:rsidRPr="00232EBB">
        <w:rPr>
          <w:rFonts w:eastAsia="Calibri"/>
          <w:noProof/>
          <w:lang w:val="es-DO"/>
        </w:rPr>
        <w:t>.</w:t>
      </w:r>
    </w:p>
    <w:p w14:paraId="667C9FF5" w14:textId="6EE08CBA" w:rsidR="00581697" w:rsidRPr="00232EBB" w:rsidRDefault="00581697" w:rsidP="004E5D6E">
      <w:pPr>
        <w:numPr>
          <w:ilvl w:val="0"/>
          <w:numId w:val="5"/>
        </w:numPr>
        <w:spacing w:line="360" w:lineRule="auto"/>
        <w:contextualSpacing/>
        <w:jc w:val="both"/>
        <w:rPr>
          <w:rFonts w:eastAsia="Calibri"/>
          <w:noProof/>
          <w:lang w:val="es-DO"/>
        </w:rPr>
      </w:pPr>
      <w:r w:rsidRPr="00232EBB">
        <w:rPr>
          <w:rFonts w:eastAsia="Calibri"/>
          <w:noProof/>
          <w:lang w:val="es-DO"/>
        </w:rPr>
        <w:t>Asistimos a la capacitaci</w:t>
      </w:r>
      <w:r w:rsidR="00110808" w:rsidRPr="00232EBB">
        <w:rPr>
          <w:rFonts w:eastAsia="Calibri"/>
          <w:noProof/>
          <w:lang w:val="es-DO"/>
        </w:rPr>
        <w:t>ó</w:t>
      </w:r>
      <w:r w:rsidRPr="00232EBB">
        <w:rPr>
          <w:rFonts w:eastAsia="Calibri"/>
          <w:noProof/>
          <w:lang w:val="es-DO"/>
        </w:rPr>
        <w:t xml:space="preserve">n/taller, para el manejo del Portal SAIP. Impartido en el Infotep. </w:t>
      </w:r>
    </w:p>
    <w:p w14:paraId="7784552E" w14:textId="1864C03B" w:rsidR="00581697" w:rsidRPr="00232EBB" w:rsidRDefault="00581697" w:rsidP="004E5D6E">
      <w:pPr>
        <w:numPr>
          <w:ilvl w:val="0"/>
          <w:numId w:val="5"/>
        </w:numPr>
        <w:spacing w:line="360" w:lineRule="auto"/>
        <w:contextualSpacing/>
        <w:jc w:val="both"/>
        <w:rPr>
          <w:rFonts w:eastAsia="Calibri"/>
          <w:noProof/>
          <w:lang w:val="es-DO"/>
        </w:rPr>
      </w:pPr>
      <w:r w:rsidRPr="00232EBB">
        <w:rPr>
          <w:rFonts w:eastAsia="Calibri"/>
          <w:noProof/>
          <w:lang w:val="es-DO"/>
        </w:rPr>
        <w:t>Participaci</w:t>
      </w:r>
      <w:r w:rsidR="00110808" w:rsidRPr="00232EBB">
        <w:rPr>
          <w:rFonts w:eastAsia="Calibri"/>
          <w:noProof/>
          <w:lang w:val="es-DO"/>
        </w:rPr>
        <w:t>ó</w:t>
      </w:r>
      <w:r w:rsidRPr="00232EBB">
        <w:rPr>
          <w:rFonts w:eastAsia="Calibri"/>
          <w:noProof/>
          <w:lang w:val="es-DO"/>
        </w:rPr>
        <w:t xml:space="preserve">n actividades de la Semana del Derecho a Saber.  </w:t>
      </w:r>
    </w:p>
    <w:p w14:paraId="33697D7B" w14:textId="77777777" w:rsidR="00110808" w:rsidRPr="00232EBB" w:rsidRDefault="00110808" w:rsidP="004E5D6E">
      <w:pPr>
        <w:rPr>
          <w:b/>
          <w:bCs/>
          <w:lang w:val="es-DO"/>
        </w:rPr>
      </w:pPr>
    </w:p>
    <w:p w14:paraId="5B14664E" w14:textId="181331C8" w:rsidR="00581697" w:rsidRPr="00232EBB" w:rsidRDefault="00581697" w:rsidP="004E5D6E">
      <w:pPr>
        <w:rPr>
          <w:b/>
          <w:bCs/>
          <w:lang w:val="es-DO"/>
        </w:rPr>
      </w:pPr>
      <w:r w:rsidRPr="00232EBB">
        <w:rPr>
          <w:b/>
          <w:bCs/>
          <w:lang w:val="es-DO"/>
        </w:rPr>
        <w:t>Publicación Datos Abiertos.</w:t>
      </w:r>
    </w:p>
    <w:p w14:paraId="38A5981A" w14:textId="77777777" w:rsidR="00581697" w:rsidRPr="00232EBB" w:rsidRDefault="00581697" w:rsidP="004E5D6E">
      <w:pPr>
        <w:spacing w:line="360" w:lineRule="auto"/>
        <w:jc w:val="both"/>
        <w:rPr>
          <w:noProof/>
          <w:lang w:val="es-DO"/>
        </w:rPr>
      </w:pPr>
      <w:r w:rsidRPr="00232EBB">
        <w:rPr>
          <w:noProof/>
          <w:lang w:val="es-DO"/>
        </w:rPr>
        <w:t>Se ha coordinado la solicitud y carga de las informaciones liberadas en el Portal Datos.gob.do, contando con los siguientes conjuntos de datos:</w:t>
      </w:r>
    </w:p>
    <w:p w14:paraId="43C8E826" w14:textId="77777777" w:rsidR="00581697" w:rsidRPr="00232EBB" w:rsidRDefault="00581697" w:rsidP="004E5D6E">
      <w:pPr>
        <w:numPr>
          <w:ilvl w:val="0"/>
          <w:numId w:val="5"/>
        </w:numPr>
        <w:spacing w:line="360" w:lineRule="auto"/>
        <w:contextualSpacing/>
        <w:jc w:val="both"/>
        <w:rPr>
          <w:rFonts w:eastAsia="Calibri"/>
          <w:noProof/>
          <w:lang w:val="es-DO"/>
        </w:rPr>
      </w:pPr>
      <w:r w:rsidRPr="00232EBB">
        <w:rPr>
          <w:rFonts w:eastAsia="Calibri"/>
          <w:noProof/>
          <w:lang w:val="es-DO"/>
        </w:rPr>
        <w:t>Nóminas de Empleados, TSS, 2017 – 2025.</w:t>
      </w:r>
    </w:p>
    <w:p w14:paraId="0D7ED752" w14:textId="77777777" w:rsidR="00581697" w:rsidRPr="00232EBB" w:rsidRDefault="00581697" w:rsidP="004E5D6E">
      <w:pPr>
        <w:numPr>
          <w:ilvl w:val="0"/>
          <w:numId w:val="5"/>
        </w:numPr>
        <w:spacing w:line="360" w:lineRule="auto"/>
        <w:contextualSpacing/>
        <w:jc w:val="both"/>
        <w:rPr>
          <w:rFonts w:eastAsia="Calibri"/>
          <w:noProof/>
          <w:lang w:val="es-DO"/>
        </w:rPr>
      </w:pPr>
      <w:r w:rsidRPr="00232EBB">
        <w:rPr>
          <w:rFonts w:eastAsia="Calibri"/>
          <w:noProof/>
          <w:lang w:val="es-DO"/>
        </w:rPr>
        <w:t>Estadísticas Oficina Acceso a la Información (OAI), TSS, 2017- 2025.</w:t>
      </w:r>
    </w:p>
    <w:p w14:paraId="56170C46" w14:textId="77777777" w:rsidR="00581697" w:rsidRPr="00232EBB" w:rsidRDefault="00581697" w:rsidP="004E5D6E">
      <w:pPr>
        <w:numPr>
          <w:ilvl w:val="0"/>
          <w:numId w:val="5"/>
        </w:numPr>
        <w:spacing w:line="360" w:lineRule="auto"/>
        <w:contextualSpacing/>
        <w:jc w:val="both"/>
        <w:rPr>
          <w:rFonts w:eastAsia="Calibri"/>
          <w:noProof/>
          <w:lang w:val="es-DO"/>
        </w:rPr>
      </w:pPr>
      <w:r w:rsidRPr="00232EBB">
        <w:rPr>
          <w:rFonts w:eastAsia="Calibri"/>
          <w:noProof/>
          <w:lang w:val="es-DO"/>
        </w:rPr>
        <w:t>Recaudaciones y Notificaciones TSS, 2014 – 2025.</w:t>
      </w:r>
    </w:p>
    <w:p w14:paraId="4D3ECF11" w14:textId="77777777" w:rsidR="00581697" w:rsidRPr="00232EBB" w:rsidRDefault="00581697" w:rsidP="004E5D6E">
      <w:pPr>
        <w:numPr>
          <w:ilvl w:val="0"/>
          <w:numId w:val="5"/>
        </w:numPr>
        <w:spacing w:line="360" w:lineRule="auto"/>
        <w:contextualSpacing/>
        <w:jc w:val="both"/>
        <w:rPr>
          <w:rFonts w:eastAsia="Calibri"/>
          <w:noProof/>
          <w:lang w:val="es-DO"/>
        </w:rPr>
      </w:pPr>
      <w:r w:rsidRPr="00232EBB">
        <w:rPr>
          <w:rFonts w:eastAsia="Calibri"/>
          <w:noProof/>
          <w:lang w:val="es-DO"/>
        </w:rPr>
        <w:t>Empleadores Activos en TSS, 2003 – 2025.</w:t>
      </w:r>
    </w:p>
    <w:p w14:paraId="7D9A9FC1" w14:textId="77777777" w:rsidR="00581697" w:rsidRPr="00232EBB" w:rsidRDefault="00581697" w:rsidP="004E5D6E">
      <w:pPr>
        <w:numPr>
          <w:ilvl w:val="0"/>
          <w:numId w:val="5"/>
        </w:numPr>
        <w:spacing w:line="360" w:lineRule="auto"/>
        <w:contextualSpacing/>
        <w:jc w:val="both"/>
        <w:rPr>
          <w:rFonts w:eastAsia="Calibri"/>
          <w:noProof/>
          <w:lang w:val="es-DO"/>
        </w:rPr>
      </w:pPr>
      <w:r w:rsidRPr="00232EBB">
        <w:rPr>
          <w:rFonts w:eastAsia="Calibri"/>
          <w:noProof/>
          <w:lang w:val="es-DO"/>
        </w:rPr>
        <w:t>Trabajadores Activos en TSS, 2003 – 2025.</w:t>
      </w:r>
    </w:p>
    <w:p w14:paraId="3EB80049" w14:textId="77777777" w:rsidR="00110808" w:rsidRPr="00232EBB" w:rsidRDefault="00110808" w:rsidP="004E5D6E">
      <w:pPr>
        <w:rPr>
          <w:b/>
          <w:bCs/>
          <w:lang w:val="es-DO"/>
        </w:rPr>
      </w:pPr>
    </w:p>
    <w:p w14:paraId="2FEFB47D" w14:textId="05B653C3" w:rsidR="00581697" w:rsidRPr="00232EBB" w:rsidRDefault="00581697" w:rsidP="004E5D6E">
      <w:pPr>
        <w:rPr>
          <w:b/>
          <w:bCs/>
          <w:lang w:val="es-DO"/>
        </w:rPr>
      </w:pPr>
      <w:r w:rsidRPr="00232EBB">
        <w:rPr>
          <w:b/>
          <w:bCs/>
          <w:lang w:val="es-DO"/>
        </w:rPr>
        <w:t xml:space="preserve">Logros </w:t>
      </w:r>
    </w:p>
    <w:p w14:paraId="19EBDF2D" w14:textId="77777777" w:rsidR="00581697" w:rsidRPr="00232EBB" w:rsidRDefault="00581697" w:rsidP="004E5D6E">
      <w:pPr>
        <w:spacing w:line="360" w:lineRule="auto"/>
        <w:rPr>
          <w:b/>
          <w:bCs/>
          <w:lang w:val="es-DO"/>
        </w:rPr>
      </w:pPr>
      <w:r w:rsidRPr="00232EBB">
        <w:rPr>
          <w:b/>
          <w:bCs/>
          <w:lang w:val="es-DO"/>
        </w:rPr>
        <w:t xml:space="preserve">Reconocimiento Rankin de Transparencia </w:t>
      </w:r>
    </w:p>
    <w:p w14:paraId="08DD8AEE" w14:textId="4425393E" w:rsidR="00581697" w:rsidRPr="00232EBB" w:rsidRDefault="00581697" w:rsidP="004E5D6E">
      <w:pPr>
        <w:spacing w:line="360" w:lineRule="auto"/>
        <w:jc w:val="both"/>
        <w:rPr>
          <w:rFonts w:eastAsia="Calibri"/>
          <w:noProof/>
          <w:lang w:val="es-DO"/>
        </w:rPr>
      </w:pPr>
      <w:r w:rsidRPr="00232EBB">
        <w:rPr>
          <w:rFonts w:eastAsia="Calibri"/>
          <w:noProof/>
          <w:lang w:val="es-DO"/>
        </w:rPr>
        <w:t>En el marco de las actividades conmemorativas de la  Semana   del Derecho a Saber 2025, organizada por la Dirección General de Ética e Integridad Gubernamental (DIGEIG), nuestra institución fue reconocida tras obtener una calificación promedio de 99.01% en las evaluaciones del ranking de transparencia institucional en los meses comprendidos entre mayo 2024 a junio 2025.</w:t>
      </w:r>
    </w:p>
    <w:p w14:paraId="2686134A" w14:textId="4E64B59B" w:rsidR="00581697" w:rsidRPr="00232EBB" w:rsidRDefault="00640D33" w:rsidP="004E5D6E">
      <w:pPr>
        <w:spacing w:line="360" w:lineRule="auto"/>
        <w:rPr>
          <w:b/>
          <w:bCs/>
          <w:lang w:val="es-DO"/>
        </w:rPr>
      </w:pPr>
      <w:r w:rsidRPr="00232EBB">
        <w:rPr>
          <w:b/>
          <w:bCs/>
          <w:lang w:val="es-DO"/>
        </w:rPr>
        <w:t>Implementación</w:t>
      </w:r>
      <w:r w:rsidR="00581697" w:rsidRPr="00232EBB">
        <w:rPr>
          <w:b/>
          <w:bCs/>
          <w:lang w:val="es-DO"/>
        </w:rPr>
        <w:t xml:space="preserve"> </w:t>
      </w:r>
      <w:r w:rsidRPr="00232EBB">
        <w:rPr>
          <w:b/>
          <w:bCs/>
          <w:lang w:val="es-DO"/>
        </w:rPr>
        <w:t>Firma Gob</w:t>
      </w:r>
    </w:p>
    <w:p w14:paraId="009EC78B" w14:textId="77777777" w:rsidR="00581697" w:rsidRPr="00232EBB" w:rsidRDefault="00581697" w:rsidP="004E5D6E">
      <w:pPr>
        <w:autoSpaceDE w:val="0"/>
        <w:autoSpaceDN w:val="0"/>
        <w:adjustRightInd w:val="0"/>
        <w:spacing w:line="360" w:lineRule="auto"/>
        <w:jc w:val="both"/>
        <w:rPr>
          <w:rFonts w:eastAsia="Calibri"/>
          <w:noProof/>
          <w:lang w:val="es-DO"/>
        </w:rPr>
      </w:pPr>
      <w:r w:rsidRPr="00232EBB">
        <w:rPr>
          <w:rFonts w:eastAsia="Calibri"/>
          <w:noProof/>
          <w:lang w:val="es-DO"/>
        </w:rPr>
        <w:t xml:space="preserve">Nuestra institución se ha integrado al proyecto de “Expansión del uso de la Firma Digital en el Estado Dominicano”, mediante la implementación del buzón gubernamental FIRMAGOB, una iniciativa priorizada por la Agenda Digital 2030. Este proyecto busca, a través de las tecnologías digitales, mejorar la calidad de vida de nuestra gente, acelerar la reactivación económica y social, y elevar los niveles de productividad y competitividad nacional. </w:t>
      </w:r>
    </w:p>
    <w:p w14:paraId="1C6D29C0" w14:textId="77777777" w:rsidR="00581697" w:rsidRPr="00232EBB" w:rsidRDefault="00581697" w:rsidP="004E5D6E">
      <w:pPr>
        <w:autoSpaceDE w:val="0"/>
        <w:autoSpaceDN w:val="0"/>
        <w:adjustRightInd w:val="0"/>
        <w:spacing w:line="360" w:lineRule="auto"/>
        <w:jc w:val="both"/>
        <w:rPr>
          <w:rFonts w:eastAsia="Calibri"/>
          <w:noProof/>
          <w:lang w:val="es-DO"/>
        </w:rPr>
      </w:pPr>
      <w:r w:rsidRPr="00232EBB">
        <w:rPr>
          <w:rFonts w:eastAsia="Calibri"/>
          <w:noProof/>
          <w:lang w:val="es-DO"/>
        </w:rPr>
        <w:t>En coordinación con el Depto. de gestión documental para la renovación de los certificados digital.</w:t>
      </w:r>
    </w:p>
    <w:p w14:paraId="206FF03F" w14:textId="77777777" w:rsidR="00581697" w:rsidRPr="00232EBB" w:rsidRDefault="00581697" w:rsidP="004E5D6E">
      <w:pPr>
        <w:autoSpaceDE w:val="0"/>
        <w:autoSpaceDN w:val="0"/>
        <w:adjustRightInd w:val="0"/>
        <w:spacing w:line="360" w:lineRule="auto"/>
        <w:jc w:val="both"/>
        <w:rPr>
          <w:noProof/>
        </w:rPr>
      </w:pPr>
      <w:r w:rsidRPr="00232EBB">
        <w:rPr>
          <w:noProof/>
        </w:rPr>
        <w:t>A la fecha tenemos:</w:t>
      </w:r>
    </w:p>
    <w:p w14:paraId="01605CC2" w14:textId="0F30743F" w:rsidR="00581697" w:rsidRPr="00232EBB" w:rsidRDefault="00581697" w:rsidP="004E5D6E">
      <w:pPr>
        <w:pStyle w:val="ListParagraph"/>
        <w:numPr>
          <w:ilvl w:val="0"/>
          <w:numId w:val="21"/>
        </w:numPr>
        <w:autoSpaceDE w:val="0"/>
        <w:autoSpaceDN w:val="0"/>
        <w:adjustRightInd w:val="0"/>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Registrados en Buz</w:t>
      </w:r>
      <w:r w:rsidR="00110808" w:rsidRPr="00232EBB">
        <w:rPr>
          <w:rFonts w:ascii="Times New Roman" w:hAnsi="Times New Roman"/>
          <w:noProof/>
          <w:color w:val="767171"/>
          <w:spacing w:val="20"/>
          <w:sz w:val="24"/>
          <w:szCs w:val="24"/>
        </w:rPr>
        <w:t>ó</w:t>
      </w:r>
      <w:r w:rsidRPr="00232EBB">
        <w:rPr>
          <w:rFonts w:ascii="Times New Roman" w:hAnsi="Times New Roman"/>
          <w:noProof/>
          <w:color w:val="767171"/>
          <w:spacing w:val="20"/>
          <w:sz w:val="24"/>
          <w:szCs w:val="24"/>
        </w:rPr>
        <w:t>n de firma: 324</w:t>
      </w:r>
    </w:p>
    <w:p w14:paraId="68D336F8" w14:textId="77777777" w:rsidR="00581697" w:rsidRPr="00232EBB" w:rsidRDefault="00581697" w:rsidP="004E5D6E">
      <w:pPr>
        <w:pStyle w:val="ListParagraph"/>
        <w:numPr>
          <w:ilvl w:val="0"/>
          <w:numId w:val="21"/>
        </w:numPr>
        <w:autoSpaceDE w:val="0"/>
        <w:autoSpaceDN w:val="0"/>
        <w:adjustRightInd w:val="0"/>
        <w:spacing w:line="360" w:lineRule="auto"/>
        <w:rPr>
          <w:rFonts w:ascii="Times New Roman" w:hAnsi="Times New Roman"/>
          <w:noProof/>
          <w:color w:val="767171"/>
          <w:spacing w:val="20"/>
          <w:sz w:val="24"/>
          <w:szCs w:val="24"/>
        </w:rPr>
      </w:pPr>
      <w:r w:rsidRPr="00232EBB">
        <w:rPr>
          <w:rFonts w:ascii="Times New Roman" w:hAnsi="Times New Roman"/>
          <w:noProof/>
          <w:color w:val="767171"/>
          <w:spacing w:val="20"/>
          <w:sz w:val="24"/>
          <w:szCs w:val="24"/>
        </w:rPr>
        <w:t>Registrados en Fortress: 339</w:t>
      </w:r>
    </w:p>
    <w:p w14:paraId="5C5B5B5B" w14:textId="3E33BBD0" w:rsidR="00AA7F19" w:rsidRPr="00232EBB" w:rsidRDefault="00AA7F19" w:rsidP="004E5D6E">
      <w:pPr>
        <w:autoSpaceDE w:val="0"/>
        <w:autoSpaceDN w:val="0"/>
        <w:adjustRightInd w:val="0"/>
        <w:spacing w:line="360" w:lineRule="auto"/>
        <w:jc w:val="both"/>
        <w:rPr>
          <w:noProof/>
          <w:lang w:val="es-MX"/>
        </w:rPr>
      </w:pPr>
      <w:r w:rsidRPr="00232EBB">
        <w:rPr>
          <w:noProof/>
          <w:lang w:val="es-MX"/>
        </w:rPr>
        <w:t>Cierre proyecto Implementación de las Normas Internacionales ISO 37301:2021 Cumplimiento Normativo - ISO 37001:2016 Antisoborno Implementadas.</w:t>
      </w:r>
    </w:p>
    <w:p w14:paraId="30C0CAA8" w14:textId="37598836" w:rsidR="00AA7F19" w:rsidRPr="00232EBB" w:rsidRDefault="00AA7F19" w:rsidP="004E5D6E">
      <w:pPr>
        <w:autoSpaceDE w:val="0"/>
        <w:autoSpaceDN w:val="0"/>
        <w:adjustRightInd w:val="0"/>
        <w:spacing w:line="360" w:lineRule="auto"/>
        <w:jc w:val="both"/>
        <w:rPr>
          <w:noProof/>
          <w:lang w:val="es-MX"/>
        </w:rPr>
      </w:pPr>
      <w:r w:rsidRPr="00232EBB">
        <w:rPr>
          <w:noProof/>
          <w:lang w:val="es-MX"/>
        </w:rPr>
        <w:t xml:space="preserve">Desde la oficina de Libre Acceso a la Información Pública, se concluyó con la coordinación de proyecto  conjunto al comité en el Proyecto de Implementación de Normas Internacionales ISO 37001 </w:t>
      </w:r>
      <w:r w:rsidRPr="00232EBB">
        <w:rPr>
          <w:noProof/>
          <w:lang w:val="es-MX"/>
        </w:rPr>
        <w:lastRenderedPageBreak/>
        <w:t>y 37301, mediante su cierre, con el cumplimiento del 100% de las actividades.</w:t>
      </w:r>
    </w:p>
    <w:tbl>
      <w:tblPr>
        <w:tblW w:w="8059" w:type="dxa"/>
        <w:jc w:val="center"/>
        <w:tblLayout w:type="fixed"/>
        <w:tblLook w:val="04A0" w:firstRow="1" w:lastRow="0" w:firstColumn="1" w:lastColumn="0" w:noHBand="0" w:noVBand="1"/>
      </w:tblPr>
      <w:tblGrid>
        <w:gridCol w:w="1359"/>
        <w:gridCol w:w="1414"/>
        <w:gridCol w:w="879"/>
        <w:gridCol w:w="933"/>
        <w:gridCol w:w="1143"/>
        <w:gridCol w:w="1455"/>
        <w:gridCol w:w="876"/>
      </w:tblGrid>
      <w:tr w:rsidR="00F70C7D" w:rsidRPr="00232EBB" w14:paraId="747C4945" w14:textId="77777777" w:rsidTr="004F330B">
        <w:trPr>
          <w:trHeight w:val="496"/>
          <w:tblHeader/>
          <w:jc w:val="center"/>
        </w:trPr>
        <w:tc>
          <w:tcPr>
            <w:tcW w:w="1359" w:type="dxa"/>
            <w:tcBorders>
              <w:top w:val="single" w:sz="4" w:space="0" w:color="auto"/>
              <w:left w:val="single" w:sz="4" w:space="0" w:color="auto"/>
              <w:bottom w:val="single" w:sz="4" w:space="0" w:color="auto"/>
              <w:right w:val="single" w:sz="4" w:space="0" w:color="auto"/>
            </w:tcBorders>
            <w:shd w:val="clear" w:color="000000" w:fill="1F3864"/>
            <w:vAlign w:val="center"/>
            <w:hideMark/>
          </w:tcPr>
          <w:p w14:paraId="6E81C32B" w14:textId="77777777" w:rsidR="00AA7F19" w:rsidRPr="00232EBB" w:rsidRDefault="00AA7F19" w:rsidP="0055368C">
            <w:pPr>
              <w:spacing w:after="0" w:line="240" w:lineRule="auto"/>
              <w:jc w:val="center"/>
              <w:rPr>
                <w:noProof/>
                <w:color w:val="FFFFFF" w:themeColor="background1"/>
                <w:sz w:val="22"/>
                <w:szCs w:val="22"/>
                <w:lang w:val="es-MX"/>
              </w:rPr>
            </w:pPr>
            <w:r w:rsidRPr="00232EBB">
              <w:rPr>
                <w:noProof/>
                <w:color w:val="FFFFFF" w:themeColor="background1"/>
                <w:sz w:val="22"/>
                <w:szCs w:val="22"/>
                <w:lang w:val="es-MX"/>
              </w:rPr>
              <w:t>Mes</w:t>
            </w:r>
          </w:p>
        </w:tc>
        <w:tc>
          <w:tcPr>
            <w:tcW w:w="1414" w:type="dxa"/>
            <w:tcBorders>
              <w:top w:val="single" w:sz="4" w:space="0" w:color="auto"/>
              <w:left w:val="nil"/>
              <w:bottom w:val="single" w:sz="4" w:space="0" w:color="auto"/>
              <w:right w:val="single" w:sz="4" w:space="0" w:color="auto"/>
            </w:tcBorders>
            <w:shd w:val="clear" w:color="000000" w:fill="1F3864"/>
            <w:vAlign w:val="center"/>
            <w:hideMark/>
          </w:tcPr>
          <w:p w14:paraId="032929E2" w14:textId="77777777" w:rsidR="00AA7F19" w:rsidRPr="00232EBB" w:rsidRDefault="00AA7F19" w:rsidP="0055368C">
            <w:pPr>
              <w:spacing w:after="0" w:line="240" w:lineRule="auto"/>
              <w:jc w:val="center"/>
              <w:rPr>
                <w:noProof/>
                <w:color w:val="FFFFFF" w:themeColor="background1"/>
                <w:sz w:val="22"/>
                <w:szCs w:val="22"/>
                <w:lang w:val="es-MX"/>
              </w:rPr>
            </w:pPr>
            <w:r w:rsidRPr="00232EBB">
              <w:rPr>
                <w:noProof/>
                <w:color w:val="FFFFFF" w:themeColor="background1"/>
                <w:sz w:val="22"/>
                <w:szCs w:val="22"/>
                <w:lang w:val="es-MX"/>
              </w:rPr>
              <w:t>Solicitudes Recibidas</w:t>
            </w:r>
          </w:p>
        </w:tc>
        <w:tc>
          <w:tcPr>
            <w:tcW w:w="879" w:type="dxa"/>
            <w:tcBorders>
              <w:top w:val="single" w:sz="4" w:space="0" w:color="auto"/>
              <w:left w:val="nil"/>
              <w:bottom w:val="single" w:sz="4" w:space="0" w:color="auto"/>
              <w:right w:val="single" w:sz="4" w:space="0" w:color="auto"/>
            </w:tcBorders>
            <w:shd w:val="clear" w:color="000000" w:fill="1F3864"/>
            <w:vAlign w:val="center"/>
            <w:hideMark/>
          </w:tcPr>
          <w:p w14:paraId="5D386DE2" w14:textId="77777777" w:rsidR="00AA7F19" w:rsidRPr="00232EBB" w:rsidRDefault="00AA7F19" w:rsidP="0055368C">
            <w:pPr>
              <w:spacing w:after="0" w:line="240" w:lineRule="auto"/>
              <w:jc w:val="center"/>
              <w:rPr>
                <w:noProof/>
                <w:color w:val="FFFFFF" w:themeColor="background1"/>
                <w:sz w:val="22"/>
                <w:szCs w:val="22"/>
                <w:lang w:val="es-MX"/>
              </w:rPr>
            </w:pPr>
            <w:r w:rsidRPr="00232EBB">
              <w:rPr>
                <w:noProof/>
                <w:color w:val="FFFFFF" w:themeColor="background1"/>
                <w:sz w:val="22"/>
                <w:szCs w:val="22"/>
                <w:lang w:val="es-MX"/>
              </w:rPr>
              <w:t>Antes de 10 dias</w:t>
            </w:r>
          </w:p>
        </w:tc>
        <w:tc>
          <w:tcPr>
            <w:tcW w:w="933" w:type="dxa"/>
            <w:tcBorders>
              <w:top w:val="single" w:sz="4" w:space="0" w:color="auto"/>
              <w:left w:val="nil"/>
              <w:bottom w:val="single" w:sz="4" w:space="0" w:color="auto"/>
              <w:right w:val="single" w:sz="4" w:space="0" w:color="auto"/>
            </w:tcBorders>
            <w:shd w:val="clear" w:color="000000" w:fill="1F3864"/>
            <w:vAlign w:val="center"/>
            <w:hideMark/>
          </w:tcPr>
          <w:p w14:paraId="58DC6C71" w14:textId="77777777" w:rsidR="00AA7F19" w:rsidRPr="00232EBB" w:rsidRDefault="00AA7F19" w:rsidP="0055368C">
            <w:pPr>
              <w:spacing w:after="0" w:line="240" w:lineRule="auto"/>
              <w:jc w:val="center"/>
              <w:rPr>
                <w:noProof/>
                <w:color w:val="FFFFFF" w:themeColor="background1"/>
                <w:sz w:val="22"/>
                <w:szCs w:val="22"/>
                <w:lang w:val="es-MX"/>
              </w:rPr>
            </w:pPr>
            <w:r w:rsidRPr="00232EBB">
              <w:rPr>
                <w:noProof/>
                <w:color w:val="FFFFFF" w:themeColor="background1"/>
                <w:sz w:val="22"/>
                <w:szCs w:val="22"/>
                <w:lang w:val="es-MX"/>
              </w:rPr>
              <w:t>De  10 a 15 días</w:t>
            </w:r>
          </w:p>
        </w:tc>
        <w:tc>
          <w:tcPr>
            <w:tcW w:w="1143" w:type="dxa"/>
            <w:tcBorders>
              <w:top w:val="single" w:sz="4" w:space="0" w:color="auto"/>
              <w:left w:val="nil"/>
              <w:bottom w:val="single" w:sz="4" w:space="0" w:color="auto"/>
              <w:right w:val="single" w:sz="4" w:space="0" w:color="auto"/>
            </w:tcBorders>
            <w:shd w:val="clear" w:color="000000" w:fill="1F3864"/>
            <w:vAlign w:val="center"/>
            <w:hideMark/>
          </w:tcPr>
          <w:p w14:paraId="1B3906C4" w14:textId="77777777" w:rsidR="00AA7F19" w:rsidRPr="00232EBB" w:rsidRDefault="00AA7F19" w:rsidP="0055368C">
            <w:pPr>
              <w:spacing w:after="0" w:line="240" w:lineRule="auto"/>
              <w:jc w:val="center"/>
              <w:rPr>
                <w:noProof/>
                <w:color w:val="FFFFFF" w:themeColor="background1"/>
                <w:sz w:val="22"/>
                <w:szCs w:val="22"/>
                <w:lang w:val="es-MX"/>
              </w:rPr>
            </w:pPr>
            <w:r w:rsidRPr="00232EBB">
              <w:rPr>
                <w:noProof/>
                <w:color w:val="FFFFFF" w:themeColor="background1"/>
                <w:sz w:val="22"/>
                <w:szCs w:val="22"/>
                <w:lang w:val="es-MX"/>
              </w:rPr>
              <w:t>Referidas</w:t>
            </w:r>
          </w:p>
        </w:tc>
        <w:tc>
          <w:tcPr>
            <w:tcW w:w="1455" w:type="dxa"/>
            <w:tcBorders>
              <w:top w:val="single" w:sz="4" w:space="0" w:color="auto"/>
              <w:left w:val="nil"/>
              <w:bottom w:val="single" w:sz="4" w:space="0" w:color="auto"/>
              <w:right w:val="single" w:sz="4" w:space="0" w:color="auto"/>
            </w:tcBorders>
            <w:shd w:val="clear" w:color="000000" w:fill="1F3864"/>
            <w:vAlign w:val="center"/>
            <w:hideMark/>
          </w:tcPr>
          <w:p w14:paraId="75C54D44" w14:textId="77777777" w:rsidR="00AA7F19" w:rsidRPr="00232EBB" w:rsidRDefault="00AA7F19" w:rsidP="0055368C">
            <w:pPr>
              <w:spacing w:after="0" w:line="240" w:lineRule="auto"/>
              <w:jc w:val="center"/>
              <w:rPr>
                <w:noProof/>
                <w:color w:val="FFFFFF" w:themeColor="background1"/>
                <w:sz w:val="22"/>
                <w:szCs w:val="22"/>
                <w:lang w:val="es-MX"/>
              </w:rPr>
            </w:pPr>
            <w:r w:rsidRPr="00232EBB">
              <w:rPr>
                <w:noProof/>
                <w:color w:val="FFFFFF" w:themeColor="background1"/>
                <w:sz w:val="22"/>
                <w:szCs w:val="22"/>
                <w:lang w:val="es-MX"/>
              </w:rPr>
              <w:t>Rechazadas</w:t>
            </w:r>
          </w:p>
        </w:tc>
        <w:tc>
          <w:tcPr>
            <w:tcW w:w="876" w:type="dxa"/>
            <w:tcBorders>
              <w:top w:val="single" w:sz="4" w:space="0" w:color="auto"/>
              <w:left w:val="nil"/>
              <w:bottom w:val="single" w:sz="4" w:space="0" w:color="auto"/>
              <w:right w:val="single" w:sz="4" w:space="0" w:color="auto"/>
            </w:tcBorders>
            <w:shd w:val="clear" w:color="000000" w:fill="1F3864"/>
            <w:vAlign w:val="center"/>
            <w:hideMark/>
          </w:tcPr>
          <w:p w14:paraId="2D320F28" w14:textId="77777777" w:rsidR="00AA7F19" w:rsidRPr="00232EBB" w:rsidRDefault="00AA7F19" w:rsidP="0055368C">
            <w:pPr>
              <w:spacing w:after="0" w:line="240" w:lineRule="auto"/>
              <w:jc w:val="center"/>
              <w:rPr>
                <w:noProof/>
                <w:color w:val="FFFFFF" w:themeColor="background1"/>
                <w:sz w:val="22"/>
                <w:szCs w:val="22"/>
                <w:lang w:val="es-MX"/>
              </w:rPr>
            </w:pPr>
            <w:r w:rsidRPr="00232EBB">
              <w:rPr>
                <w:noProof/>
                <w:color w:val="FFFFFF" w:themeColor="background1"/>
                <w:sz w:val="22"/>
                <w:szCs w:val="22"/>
                <w:lang w:val="es-MX"/>
              </w:rPr>
              <w:t>Fuera de Plazo</w:t>
            </w:r>
          </w:p>
        </w:tc>
      </w:tr>
      <w:tr w:rsidR="00F70C7D" w:rsidRPr="00232EBB" w14:paraId="1422016C" w14:textId="77777777" w:rsidTr="00231D31">
        <w:trPr>
          <w:trHeight w:val="302"/>
          <w:jc w:val="center"/>
        </w:trPr>
        <w:tc>
          <w:tcPr>
            <w:tcW w:w="1359" w:type="dxa"/>
            <w:tcBorders>
              <w:top w:val="nil"/>
              <w:left w:val="single" w:sz="4" w:space="0" w:color="auto"/>
              <w:bottom w:val="single" w:sz="4" w:space="0" w:color="auto"/>
              <w:right w:val="single" w:sz="4" w:space="0" w:color="auto"/>
            </w:tcBorders>
            <w:vAlign w:val="bottom"/>
          </w:tcPr>
          <w:p w14:paraId="5F13D0CE"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Enero  2025</w:t>
            </w:r>
          </w:p>
        </w:tc>
        <w:tc>
          <w:tcPr>
            <w:tcW w:w="1414" w:type="dxa"/>
            <w:tcBorders>
              <w:top w:val="nil"/>
              <w:left w:val="nil"/>
              <w:bottom w:val="single" w:sz="4" w:space="0" w:color="auto"/>
              <w:right w:val="single" w:sz="4" w:space="0" w:color="auto"/>
            </w:tcBorders>
            <w:vAlign w:val="center"/>
          </w:tcPr>
          <w:p w14:paraId="163E48AE"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7</w:t>
            </w:r>
          </w:p>
        </w:tc>
        <w:tc>
          <w:tcPr>
            <w:tcW w:w="879" w:type="dxa"/>
            <w:tcBorders>
              <w:top w:val="nil"/>
              <w:left w:val="nil"/>
              <w:bottom w:val="single" w:sz="4" w:space="0" w:color="auto"/>
              <w:right w:val="single" w:sz="4" w:space="0" w:color="auto"/>
            </w:tcBorders>
            <w:vAlign w:val="center"/>
          </w:tcPr>
          <w:p w14:paraId="6E76E684"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1</w:t>
            </w:r>
          </w:p>
        </w:tc>
        <w:tc>
          <w:tcPr>
            <w:tcW w:w="933" w:type="dxa"/>
            <w:tcBorders>
              <w:top w:val="nil"/>
              <w:left w:val="nil"/>
              <w:bottom w:val="single" w:sz="4" w:space="0" w:color="auto"/>
              <w:right w:val="single" w:sz="4" w:space="0" w:color="auto"/>
            </w:tcBorders>
            <w:vAlign w:val="center"/>
          </w:tcPr>
          <w:p w14:paraId="627655B4"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3</w:t>
            </w:r>
          </w:p>
        </w:tc>
        <w:tc>
          <w:tcPr>
            <w:tcW w:w="1143" w:type="dxa"/>
            <w:tcBorders>
              <w:top w:val="nil"/>
              <w:left w:val="nil"/>
              <w:bottom w:val="single" w:sz="4" w:space="0" w:color="auto"/>
              <w:right w:val="single" w:sz="4" w:space="0" w:color="auto"/>
            </w:tcBorders>
            <w:vAlign w:val="center"/>
          </w:tcPr>
          <w:p w14:paraId="70C2CF0D"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c>
          <w:tcPr>
            <w:tcW w:w="1455" w:type="dxa"/>
            <w:tcBorders>
              <w:top w:val="nil"/>
              <w:left w:val="nil"/>
              <w:bottom w:val="single" w:sz="4" w:space="0" w:color="auto"/>
              <w:right w:val="single" w:sz="4" w:space="0" w:color="auto"/>
            </w:tcBorders>
            <w:vAlign w:val="bottom"/>
          </w:tcPr>
          <w:p w14:paraId="7C8E1ECE"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3</w:t>
            </w:r>
          </w:p>
        </w:tc>
        <w:tc>
          <w:tcPr>
            <w:tcW w:w="876" w:type="dxa"/>
            <w:tcBorders>
              <w:top w:val="nil"/>
              <w:left w:val="nil"/>
              <w:bottom w:val="single" w:sz="4" w:space="0" w:color="auto"/>
              <w:right w:val="single" w:sz="4" w:space="0" w:color="auto"/>
            </w:tcBorders>
            <w:vAlign w:val="center"/>
          </w:tcPr>
          <w:p w14:paraId="7340B30D"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r>
      <w:tr w:rsidR="00F70C7D" w:rsidRPr="00232EBB" w14:paraId="38D3E0FF" w14:textId="77777777" w:rsidTr="00231D31">
        <w:trPr>
          <w:trHeight w:val="241"/>
          <w:jc w:val="center"/>
        </w:trPr>
        <w:tc>
          <w:tcPr>
            <w:tcW w:w="1359" w:type="dxa"/>
            <w:tcBorders>
              <w:top w:val="nil"/>
              <w:left w:val="single" w:sz="4" w:space="0" w:color="auto"/>
              <w:bottom w:val="single" w:sz="4" w:space="0" w:color="auto"/>
              <w:right w:val="single" w:sz="4" w:space="0" w:color="auto"/>
            </w:tcBorders>
            <w:vAlign w:val="bottom"/>
          </w:tcPr>
          <w:p w14:paraId="779D3DE9"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Febrero 2025</w:t>
            </w:r>
          </w:p>
        </w:tc>
        <w:tc>
          <w:tcPr>
            <w:tcW w:w="1414" w:type="dxa"/>
            <w:tcBorders>
              <w:top w:val="nil"/>
              <w:left w:val="nil"/>
              <w:bottom w:val="single" w:sz="4" w:space="0" w:color="auto"/>
              <w:right w:val="single" w:sz="4" w:space="0" w:color="auto"/>
            </w:tcBorders>
            <w:vAlign w:val="center"/>
          </w:tcPr>
          <w:p w14:paraId="665CFDE4"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5</w:t>
            </w:r>
          </w:p>
        </w:tc>
        <w:tc>
          <w:tcPr>
            <w:tcW w:w="879" w:type="dxa"/>
            <w:tcBorders>
              <w:top w:val="nil"/>
              <w:left w:val="nil"/>
              <w:bottom w:val="single" w:sz="4" w:space="0" w:color="auto"/>
              <w:right w:val="single" w:sz="4" w:space="0" w:color="auto"/>
            </w:tcBorders>
            <w:vAlign w:val="center"/>
          </w:tcPr>
          <w:p w14:paraId="1885038D"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2</w:t>
            </w:r>
          </w:p>
        </w:tc>
        <w:tc>
          <w:tcPr>
            <w:tcW w:w="933" w:type="dxa"/>
            <w:tcBorders>
              <w:top w:val="nil"/>
              <w:left w:val="nil"/>
              <w:bottom w:val="single" w:sz="4" w:space="0" w:color="auto"/>
              <w:right w:val="single" w:sz="4" w:space="0" w:color="auto"/>
            </w:tcBorders>
            <w:vAlign w:val="center"/>
          </w:tcPr>
          <w:p w14:paraId="41E5E508"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1</w:t>
            </w:r>
          </w:p>
        </w:tc>
        <w:tc>
          <w:tcPr>
            <w:tcW w:w="1143" w:type="dxa"/>
            <w:tcBorders>
              <w:top w:val="nil"/>
              <w:left w:val="nil"/>
              <w:bottom w:val="single" w:sz="4" w:space="0" w:color="auto"/>
              <w:right w:val="single" w:sz="4" w:space="0" w:color="auto"/>
            </w:tcBorders>
            <w:vAlign w:val="center"/>
          </w:tcPr>
          <w:p w14:paraId="2B902F36"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1</w:t>
            </w:r>
          </w:p>
        </w:tc>
        <w:tc>
          <w:tcPr>
            <w:tcW w:w="1455" w:type="dxa"/>
            <w:tcBorders>
              <w:top w:val="nil"/>
              <w:left w:val="nil"/>
              <w:bottom w:val="single" w:sz="4" w:space="0" w:color="auto"/>
              <w:right w:val="single" w:sz="4" w:space="0" w:color="auto"/>
            </w:tcBorders>
            <w:vAlign w:val="bottom"/>
          </w:tcPr>
          <w:p w14:paraId="556FF326"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1</w:t>
            </w:r>
          </w:p>
        </w:tc>
        <w:tc>
          <w:tcPr>
            <w:tcW w:w="876" w:type="dxa"/>
            <w:tcBorders>
              <w:top w:val="nil"/>
              <w:left w:val="nil"/>
              <w:bottom w:val="single" w:sz="4" w:space="0" w:color="auto"/>
              <w:right w:val="single" w:sz="4" w:space="0" w:color="auto"/>
            </w:tcBorders>
            <w:vAlign w:val="center"/>
          </w:tcPr>
          <w:p w14:paraId="42CFCC0D"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r>
      <w:tr w:rsidR="00F70C7D" w:rsidRPr="00232EBB" w14:paraId="24F2DD68" w14:textId="77777777" w:rsidTr="00231D31">
        <w:trPr>
          <w:trHeight w:val="323"/>
          <w:jc w:val="center"/>
        </w:trPr>
        <w:tc>
          <w:tcPr>
            <w:tcW w:w="1359" w:type="dxa"/>
            <w:tcBorders>
              <w:top w:val="nil"/>
              <w:left w:val="single" w:sz="4" w:space="0" w:color="auto"/>
              <w:bottom w:val="single" w:sz="4" w:space="0" w:color="auto"/>
              <w:right w:val="single" w:sz="4" w:space="0" w:color="auto"/>
            </w:tcBorders>
            <w:vAlign w:val="bottom"/>
          </w:tcPr>
          <w:p w14:paraId="336B5B0C"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Marzo 2025</w:t>
            </w:r>
          </w:p>
        </w:tc>
        <w:tc>
          <w:tcPr>
            <w:tcW w:w="1414" w:type="dxa"/>
            <w:tcBorders>
              <w:top w:val="nil"/>
              <w:left w:val="nil"/>
              <w:bottom w:val="single" w:sz="4" w:space="0" w:color="auto"/>
              <w:right w:val="single" w:sz="4" w:space="0" w:color="auto"/>
            </w:tcBorders>
            <w:vAlign w:val="center"/>
          </w:tcPr>
          <w:p w14:paraId="3890AEFB"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10</w:t>
            </w:r>
          </w:p>
        </w:tc>
        <w:tc>
          <w:tcPr>
            <w:tcW w:w="879" w:type="dxa"/>
            <w:tcBorders>
              <w:top w:val="nil"/>
              <w:left w:val="nil"/>
              <w:bottom w:val="single" w:sz="4" w:space="0" w:color="auto"/>
              <w:right w:val="single" w:sz="4" w:space="0" w:color="auto"/>
            </w:tcBorders>
            <w:vAlign w:val="center"/>
          </w:tcPr>
          <w:p w14:paraId="2195A1EF"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2</w:t>
            </w:r>
          </w:p>
        </w:tc>
        <w:tc>
          <w:tcPr>
            <w:tcW w:w="933" w:type="dxa"/>
            <w:tcBorders>
              <w:top w:val="nil"/>
              <w:left w:val="nil"/>
              <w:bottom w:val="single" w:sz="4" w:space="0" w:color="auto"/>
              <w:right w:val="single" w:sz="4" w:space="0" w:color="auto"/>
            </w:tcBorders>
            <w:vAlign w:val="center"/>
          </w:tcPr>
          <w:p w14:paraId="047223FF"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6</w:t>
            </w:r>
          </w:p>
        </w:tc>
        <w:tc>
          <w:tcPr>
            <w:tcW w:w="1143" w:type="dxa"/>
            <w:tcBorders>
              <w:top w:val="nil"/>
              <w:left w:val="nil"/>
              <w:bottom w:val="single" w:sz="4" w:space="0" w:color="auto"/>
              <w:right w:val="single" w:sz="4" w:space="0" w:color="auto"/>
            </w:tcBorders>
            <w:vAlign w:val="center"/>
          </w:tcPr>
          <w:p w14:paraId="29DB9CC5"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2</w:t>
            </w:r>
          </w:p>
        </w:tc>
        <w:tc>
          <w:tcPr>
            <w:tcW w:w="1455" w:type="dxa"/>
            <w:tcBorders>
              <w:top w:val="nil"/>
              <w:left w:val="nil"/>
              <w:bottom w:val="single" w:sz="4" w:space="0" w:color="auto"/>
              <w:right w:val="single" w:sz="4" w:space="0" w:color="auto"/>
            </w:tcBorders>
            <w:vAlign w:val="bottom"/>
          </w:tcPr>
          <w:p w14:paraId="6919EEB5"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c>
          <w:tcPr>
            <w:tcW w:w="876" w:type="dxa"/>
            <w:tcBorders>
              <w:top w:val="nil"/>
              <w:left w:val="nil"/>
              <w:bottom w:val="single" w:sz="4" w:space="0" w:color="auto"/>
              <w:right w:val="single" w:sz="4" w:space="0" w:color="auto"/>
            </w:tcBorders>
            <w:vAlign w:val="center"/>
          </w:tcPr>
          <w:p w14:paraId="22E777FD"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r>
      <w:tr w:rsidR="00F70C7D" w:rsidRPr="00232EBB" w14:paraId="29138724" w14:textId="77777777" w:rsidTr="00231D31">
        <w:trPr>
          <w:trHeight w:val="211"/>
          <w:jc w:val="center"/>
        </w:trPr>
        <w:tc>
          <w:tcPr>
            <w:tcW w:w="1359" w:type="dxa"/>
            <w:tcBorders>
              <w:top w:val="nil"/>
              <w:left w:val="single" w:sz="4" w:space="0" w:color="auto"/>
              <w:bottom w:val="single" w:sz="4" w:space="0" w:color="auto"/>
              <w:right w:val="single" w:sz="4" w:space="0" w:color="auto"/>
            </w:tcBorders>
            <w:vAlign w:val="bottom"/>
          </w:tcPr>
          <w:p w14:paraId="1424B6FA"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Abril 2025</w:t>
            </w:r>
          </w:p>
        </w:tc>
        <w:tc>
          <w:tcPr>
            <w:tcW w:w="1414" w:type="dxa"/>
            <w:tcBorders>
              <w:top w:val="nil"/>
              <w:left w:val="nil"/>
              <w:bottom w:val="single" w:sz="4" w:space="0" w:color="auto"/>
              <w:right w:val="single" w:sz="4" w:space="0" w:color="auto"/>
            </w:tcBorders>
            <w:vAlign w:val="center"/>
          </w:tcPr>
          <w:p w14:paraId="5F8C4047"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7</w:t>
            </w:r>
          </w:p>
        </w:tc>
        <w:tc>
          <w:tcPr>
            <w:tcW w:w="879" w:type="dxa"/>
            <w:tcBorders>
              <w:top w:val="nil"/>
              <w:left w:val="nil"/>
              <w:bottom w:val="single" w:sz="4" w:space="0" w:color="auto"/>
              <w:right w:val="single" w:sz="4" w:space="0" w:color="auto"/>
            </w:tcBorders>
            <w:vAlign w:val="center"/>
          </w:tcPr>
          <w:p w14:paraId="228ACB1F"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5</w:t>
            </w:r>
          </w:p>
        </w:tc>
        <w:tc>
          <w:tcPr>
            <w:tcW w:w="933" w:type="dxa"/>
            <w:tcBorders>
              <w:top w:val="nil"/>
              <w:left w:val="nil"/>
              <w:bottom w:val="single" w:sz="4" w:space="0" w:color="auto"/>
              <w:right w:val="single" w:sz="4" w:space="0" w:color="auto"/>
            </w:tcBorders>
            <w:vAlign w:val="center"/>
          </w:tcPr>
          <w:p w14:paraId="419F2A3F"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1</w:t>
            </w:r>
          </w:p>
        </w:tc>
        <w:tc>
          <w:tcPr>
            <w:tcW w:w="1143" w:type="dxa"/>
            <w:tcBorders>
              <w:top w:val="nil"/>
              <w:left w:val="nil"/>
              <w:bottom w:val="single" w:sz="4" w:space="0" w:color="auto"/>
              <w:right w:val="single" w:sz="4" w:space="0" w:color="auto"/>
            </w:tcBorders>
            <w:vAlign w:val="center"/>
          </w:tcPr>
          <w:p w14:paraId="12247F64"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c>
          <w:tcPr>
            <w:tcW w:w="1455" w:type="dxa"/>
            <w:tcBorders>
              <w:top w:val="nil"/>
              <w:left w:val="nil"/>
              <w:bottom w:val="single" w:sz="4" w:space="0" w:color="auto"/>
              <w:right w:val="single" w:sz="4" w:space="0" w:color="auto"/>
            </w:tcBorders>
            <w:vAlign w:val="bottom"/>
          </w:tcPr>
          <w:p w14:paraId="1D37E444"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1</w:t>
            </w:r>
          </w:p>
        </w:tc>
        <w:tc>
          <w:tcPr>
            <w:tcW w:w="876" w:type="dxa"/>
            <w:tcBorders>
              <w:top w:val="nil"/>
              <w:left w:val="nil"/>
              <w:bottom w:val="single" w:sz="4" w:space="0" w:color="auto"/>
              <w:right w:val="single" w:sz="4" w:space="0" w:color="auto"/>
            </w:tcBorders>
            <w:vAlign w:val="center"/>
          </w:tcPr>
          <w:p w14:paraId="043CBC61"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r>
      <w:tr w:rsidR="00F70C7D" w:rsidRPr="00232EBB" w14:paraId="6FAE4DC2" w14:textId="77777777" w:rsidTr="00231D31">
        <w:trPr>
          <w:trHeight w:val="211"/>
          <w:jc w:val="center"/>
        </w:trPr>
        <w:tc>
          <w:tcPr>
            <w:tcW w:w="1359" w:type="dxa"/>
            <w:tcBorders>
              <w:top w:val="nil"/>
              <w:left w:val="single" w:sz="4" w:space="0" w:color="auto"/>
              <w:bottom w:val="single" w:sz="4" w:space="0" w:color="auto"/>
              <w:right w:val="single" w:sz="4" w:space="0" w:color="auto"/>
            </w:tcBorders>
            <w:vAlign w:val="bottom"/>
          </w:tcPr>
          <w:p w14:paraId="6D3448DE"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Mayo 2025</w:t>
            </w:r>
          </w:p>
        </w:tc>
        <w:tc>
          <w:tcPr>
            <w:tcW w:w="1414" w:type="dxa"/>
            <w:tcBorders>
              <w:top w:val="nil"/>
              <w:left w:val="nil"/>
              <w:bottom w:val="single" w:sz="4" w:space="0" w:color="auto"/>
              <w:right w:val="single" w:sz="4" w:space="0" w:color="auto"/>
            </w:tcBorders>
            <w:vAlign w:val="center"/>
          </w:tcPr>
          <w:p w14:paraId="09DC4FDB"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3</w:t>
            </w:r>
          </w:p>
        </w:tc>
        <w:tc>
          <w:tcPr>
            <w:tcW w:w="879" w:type="dxa"/>
            <w:tcBorders>
              <w:top w:val="nil"/>
              <w:left w:val="nil"/>
              <w:bottom w:val="single" w:sz="4" w:space="0" w:color="auto"/>
              <w:right w:val="single" w:sz="4" w:space="0" w:color="auto"/>
            </w:tcBorders>
            <w:vAlign w:val="center"/>
          </w:tcPr>
          <w:p w14:paraId="63F04AEA"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1</w:t>
            </w:r>
          </w:p>
        </w:tc>
        <w:tc>
          <w:tcPr>
            <w:tcW w:w="933" w:type="dxa"/>
            <w:tcBorders>
              <w:top w:val="nil"/>
              <w:left w:val="nil"/>
              <w:bottom w:val="single" w:sz="4" w:space="0" w:color="auto"/>
              <w:right w:val="single" w:sz="4" w:space="0" w:color="auto"/>
            </w:tcBorders>
            <w:vAlign w:val="center"/>
          </w:tcPr>
          <w:p w14:paraId="1476E25B"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c>
          <w:tcPr>
            <w:tcW w:w="1143" w:type="dxa"/>
            <w:tcBorders>
              <w:top w:val="nil"/>
              <w:left w:val="nil"/>
              <w:bottom w:val="single" w:sz="4" w:space="0" w:color="auto"/>
              <w:right w:val="single" w:sz="4" w:space="0" w:color="auto"/>
            </w:tcBorders>
            <w:vAlign w:val="center"/>
          </w:tcPr>
          <w:p w14:paraId="2FD66D63"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2</w:t>
            </w:r>
          </w:p>
        </w:tc>
        <w:tc>
          <w:tcPr>
            <w:tcW w:w="1455" w:type="dxa"/>
            <w:tcBorders>
              <w:top w:val="nil"/>
              <w:left w:val="nil"/>
              <w:bottom w:val="single" w:sz="4" w:space="0" w:color="auto"/>
              <w:right w:val="single" w:sz="4" w:space="0" w:color="auto"/>
            </w:tcBorders>
            <w:vAlign w:val="bottom"/>
          </w:tcPr>
          <w:p w14:paraId="502F4EDF"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c>
          <w:tcPr>
            <w:tcW w:w="876" w:type="dxa"/>
            <w:tcBorders>
              <w:top w:val="nil"/>
              <w:left w:val="nil"/>
              <w:bottom w:val="single" w:sz="4" w:space="0" w:color="auto"/>
              <w:right w:val="single" w:sz="4" w:space="0" w:color="auto"/>
            </w:tcBorders>
            <w:vAlign w:val="center"/>
          </w:tcPr>
          <w:p w14:paraId="41F1AE08"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r>
      <w:tr w:rsidR="00F70C7D" w:rsidRPr="00232EBB" w14:paraId="00C79AFC" w14:textId="77777777" w:rsidTr="00231D31">
        <w:trPr>
          <w:trHeight w:val="211"/>
          <w:jc w:val="center"/>
        </w:trPr>
        <w:tc>
          <w:tcPr>
            <w:tcW w:w="1359" w:type="dxa"/>
            <w:tcBorders>
              <w:top w:val="nil"/>
              <w:left w:val="single" w:sz="4" w:space="0" w:color="auto"/>
              <w:bottom w:val="single" w:sz="4" w:space="0" w:color="auto"/>
              <w:right w:val="single" w:sz="4" w:space="0" w:color="auto"/>
            </w:tcBorders>
            <w:vAlign w:val="bottom"/>
          </w:tcPr>
          <w:p w14:paraId="0CE9F80D"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Junio 2025</w:t>
            </w:r>
          </w:p>
        </w:tc>
        <w:tc>
          <w:tcPr>
            <w:tcW w:w="1414" w:type="dxa"/>
            <w:tcBorders>
              <w:top w:val="nil"/>
              <w:left w:val="nil"/>
              <w:bottom w:val="single" w:sz="4" w:space="0" w:color="auto"/>
              <w:right w:val="single" w:sz="4" w:space="0" w:color="auto"/>
            </w:tcBorders>
            <w:vAlign w:val="center"/>
          </w:tcPr>
          <w:p w14:paraId="06DDC5D8"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4</w:t>
            </w:r>
          </w:p>
        </w:tc>
        <w:tc>
          <w:tcPr>
            <w:tcW w:w="879" w:type="dxa"/>
            <w:tcBorders>
              <w:top w:val="nil"/>
              <w:left w:val="nil"/>
              <w:bottom w:val="single" w:sz="4" w:space="0" w:color="auto"/>
              <w:right w:val="single" w:sz="4" w:space="0" w:color="auto"/>
            </w:tcBorders>
            <w:vAlign w:val="center"/>
          </w:tcPr>
          <w:p w14:paraId="04FBAF03"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c>
          <w:tcPr>
            <w:tcW w:w="933" w:type="dxa"/>
            <w:tcBorders>
              <w:top w:val="nil"/>
              <w:left w:val="nil"/>
              <w:bottom w:val="single" w:sz="4" w:space="0" w:color="auto"/>
              <w:right w:val="single" w:sz="4" w:space="0" w:color="auto"/>
            </w:tcBorders>
            <w:vAlign w:val="center"/>
          </w:tcPr>
          <w:p w14:paraId="4675BAC4"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4</w:t>
            </w:r>
          </w:p>
        </w:tc>
        <w:tc>
          <w:tcPr>
            <w:tcW w:w="1143" w:type="dxa"/>
            <w:tcBorders>
              <w:top w:val="nil"/>
              <w:left w:val="nil"/>
              <w:bottom w:val="single" w:sz="4" w:space="0" w:color="auto"/>
              <w:right w:val="single" w:sz="4" w:space="0" w:color="auto"/>
            </w:tcBorders>
            <w:vAlign w:val="center"/>
          </w:tcPr>
          <w:p w14:paraId="2D8ABF48"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c>
          <w:tcPr>
            <w:tcW w:w="1455" w:type="dxa"/>
            <w:tcBorders>
              <w:top w:val="nil"/>
              <w:left w:val="nil"/>
              <w:bottom w:val="single" w:sz="4" w:space="0" w:color="auto"/>
              <w:right w:val="single" w:sz="4" w:space="0" w:color="auto"/>
            </w:tcBorders>
            <w:vAlign w:val="bottom"/>
          </w:tcPr>
          <w:p w14:paraId="3ED8EAF9"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c>
          <w:tcPr>
            <w:tcW w:w="876" w:type="dxa"/>
            <w:tcBorders>
              <w:top w:val="nil"/>
              <w:left w:val="nil"/>
              <w:bottom w:val="single" w:sz="4" w:space="0" w:color="auto"/>
              <w:right w:val="single" w:sz="4" w:space="0" w:color="auto"/>
            </w:tcBorders>
            <w:vAlign w:val="center"/>
          </w:tcPr>
          <w:p w14:paraId="22BB26AE"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r>
      <w:tr w:rsidR="00F70C7D" w:rsidRPr="00232EBB" w14:paraId="578C2B63" w14:textId="77777777" w:rsidTr="00231D31">
        <w:trPr>
          <w:trHeight w:val="211"/>
          <w:jc w:val="center"/>
        </w:trPr>
        <w:tc>
          <w:tcPr>
            <w:tcW w:w="1359" w:type="dxa"/>
            <w:tcBorders>
              <w:top w:val="nil"/>
              <w:left w:val="single" w:sz="4" w:space="0" w:color="auto"/>
              <w:bottom w:val="single" w:sz="4" w:space="0" w:color="auto"/>
              <w:right w:val="single" w:sz="4" w:space="0" w:color="auto"/>
            </w:tcBorders>
            <w:vAlign w:val="bottom"/>
          </w:tcPr>
          <w:p w14:paraId="04916AC0"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Julio 2025</w:t>
            </w:r>
          </w:p>
        </w:tc>
        <w:tc>
          <w:tcPr>
            <w:tcW w:w="1414" w:type="dxa"/>
            <w:tcBorders>
              <w:top w:val="nil"/>
              <w:left w:val="nil"/>
              <w:bottom w:val="single" w:sz="4" w:space="0" w:color="auto"/>
              <w:right w:val="single" w:sz="4" w:space="0" w:color="auto"/>
            </w:tcBorders>
            <w:vAlign w:val="center"/>
          </w:tcPr>
          <w:p w14:paraId="59B8F9E1"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2</w:t>
            </w:r>
          </w:p>
        </w:tc>
        <w:tc>
          <w:tcPr>
            <w:tcW w:w="879" w:type="dxa"/>
            <w:tcBorders>
              <w:top w:val="nil"/>
              <w:left w:val="nil"/>
              <w:bottom w:val="single" w:sz="4" w:space="0" w:color="auto"/>
              <w:right w:val="single" w:sz="4" w:space="0" w:color="auto"/>
            </w:tcBorders>
            <w:vAlign w:val="center"/>
          </w:tcPr>
          <w:p w14:paraId="2856FF92"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1</w:t>
            </w:r>
          </w:p>
        </w:tc>
        <w:tc>
          <w:tcPr>
            <w:tcW w:w="933" w:type="dxa"/>
            <w:tcBorders>
              <w:top w:val="nil"/>
              <w:left w:val="nil"/>
              <w:bottom w:val="single" w:sz="4" w:space="0" w:color="auto"/>
              <w:right w:val="single" w:sz="4" w:space="0" w:color="auto"/>
            </w:tcBorders>
            <w:vAlign w:val="center"/>
          </w:tcPr>
          <w:p w14:paraId="2C973B90"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1</w:t>
            </w:r>
          </w:p>
        </w:tc>
        <w:tc>
          <w:tcPr>
            <w:tcW w:w="1143" w:type="dxa"/>
            <w:tcBorders>
              <w:top w:val="nil"/>
              <w:left w:val="nil"/>
              <w:bottom w:val="single" w:sz="4" w:space="0" w:color="auto"/>
              <w:right w:val="single" w:sz="4" w:space="0" w:color="auto"/>
            </w:tcBorders>
            <w:vAlign w:val="center"/>
          </w:tcPr>
          <w:p w14:paraId="40D4CDA4"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c>
          <w:tcPr>
            <w:tcW w:w="1455" w:type="dxa"/>
            <w:tcBorders>
              <w:top w:val="nil"/>
              <w:left w:val="nil"/>
              <w:bottom w:val="single" w:sz="4" w:space="0" w:color="auto"/>
              <w:right w:val="single" w:sz="4" w:space="0" w:color="auto"/>
            </w:tcBorders>
            <w:vAlign w:val="bottom"/>
          </w:tcPr>
          <w:p w14:paraId="3EE1ED9C"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c>
          <w:tcPr>
            <w:tcW w:w="876" w:type="dxa"/>
            <w:tcBorders>
              <w:top w:val="nil"/>
              <w:left w:val="nil"/>
              <w:bottom w:val="single" w:sz="4" w:space="0" w:color="auto"/>
              <w:right w:val="single" w:sz="4" w:space="0" w:color="auto"/>
            </w:tcBorders>
            <w:vAlign w:val="center"/>
          </w:tcPr>
          <w:p w14:paraId="7C655C20"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r>
      <w:tr w:rsidR="00F70C7D" w:rsidRPr="00232EBB" w14:paraId="4E21D520" w14:textId="77777777" w:rsidTr="00231D31">
        <w:trPr>
          <w:trHeight w:val="211"/>
          <w:jc w:val="center"/>
        </w:trPr>
        <w:tc>
          <w:tcPr>
            <w:tcW w:w="1359" w:type="dxa"/>
            <w:tcBorders>
              <w:top w:val="nil"/>
              <w:left w:val="single" w:sz="4" w:space="0" w:color="auto"/>
              <w:bottom w:val="single" w:sz="4" w:space="0" w:color="auto"/>
              <w:right w:val="single" w:sz="4" w:space="0" w:color="auto"/>
            </w:tcBorders>
            <w:vAlign w:val="bottom"/>
          </w:tcPr>
          <w:p w14:paraId="3769673B"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Agosto 2025</w:t>
            </w:r>
          </w:p>
        </w:tc>
        <w:tc>
          <w:tcPr>
            <w:tcW w:w="1414" w:type="dxa"/>
            <w:tcBorders>
              <w:top w:val="nil"/>
              <w:left w:val="nil"/>
              <w:bottom w:val="single" w:sz="4" w:space="0" w:color="auto"/>
              <w:right w:val="single" w:sz="4" w:space="0" w:color="auto"/>
            </w:tcBorders>
            <w:vAlign w:val="center"/>
          </w:tcPr>
          <w:p w14:paraId="61AA1C59"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4</w:t>
            </w:r>
          </w:p>
        </w:tc>
        <w:tc>
          <w:tcPr>
            <w:tcW w:w="879" w:type="dxa"/>
            <w:tcBorders>
              <w:top w:val="nil"/>
              <w:left w:val="nil"/>
              <w:bottom w:val="single" w:sz="4" w:space="0" w:color="auto"/>
              <w:right w:val="single" w:sz="4" w:space="0" w:color="auto"/>
            </w:tcBorders>
            <w:vAlign w:val="center"/>
          </w:tcPr>
          <w:p w14:paraId="560E5AF9"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c>
          <w:tcPr>
            <w:tcW w:w="933" w:type="dxa"/>
            <w:tcBorders>
              <w:top w:val="nil"/>
              <w:left w:val="nil"/>
              <w:bottom w:val="single" w:sz="4" w:space="0" w:color="auto"/>
              <w:right w:val="single" w:sz="4" w:space="0" w:color="auto"/>
            </w:tcBorders>
            <w:vAlign w:val="center"/>
          </w:tcPr>
          <w:p w14:paraId="7FC4D7B9"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2</w:t>
            </w:r>
          </w:p>
        </w:tc>
        <w:tc>
          <w:tcPr>
            <w:tcW w:w="1143" w:type="dxa"/>
            <w:tcBorders>
              <w:top w:val="nil"/>
              <w:left w:val="nil"/>
              <w:bottom w:val="single" w:sz="4" w:space="0" w:color="auto"/>
              <w:right w:val="single" w:sz="4" w:space="0" w:color="auto"/>
            </w:tcBorders>
            <w:vAlign w:val="center"/>
          </w:tcPr>
          <w:p w14:paraId="3D94C92C"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c>
          <w:tcPr>
            <w:tcW w:w="1455" w:type="dxa"/>
            <w:tcBorders>
              <w:top w:val="nil"/>
              <w:left w:val="nil"/>
              <w:bottom w:val="single" w:sz="4" w:space="0" w:color="auto"/>
              <w:right w:val="single" w:sz="4" w:space="0" w:color="auto"/>
            </w:tcBorders>
            <w:vAlign w:val="bottom"/>
          </w:tcPr>
          <w:p w14:paraId="0FF6654B"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2</w:t>
            </w:r>
          </w:p>
        </w:tc>
        <w:tc>
          <w:tcPr>
            <w:tcW w:w="876" w:type="dxa"/>
            <w:tcBorders>
              <w:top w:val="nil"/>
              <w:left w:val="nil"/>
              <w:bottom w:val="single" w:sz="4" w:space="0" w:color="auto"/>
              <w:right w:val="single" w:sz="4" w:space="0" w:color="auto"/>
            </w:tcBorders>
            <w:vAlign w:val="center"/>
          </w:tcPr>
          <w:p w14:paraId="7A98AC95"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r>
      <w:tr w:rsidR="00F70C7D" w:rsidRPr="00232EBB" w14:paraId="26CEE826" w14:textId="77777777" w:rsidTr="00231D31">
        <w:trPr>
          <w:trHeight w:val="211"/>
          <w:jc w:val="center"/>
        </w:trPr>
        <w:tc>
          <w:tcPr>
            <w:tcW w:w="1359" w:type="dxa"/>
            <w:tcBorders>
              <w:top w:val="nil"/>
              <w:left w:val="single" w:sz="4" w:space="0" w:color="auto"/>
              <w:bottom w:val="single" w:sz="4" w:space="0" w:color="auto"/>
              <w:right w:val="single" w:sz="4" w:space="0" w:color="auto"/>
            </w:tcBorders>
            <w:vAlign w:val="bottom"/>
          </w:tcPr>
          <w:p w14:paraId="02FA165A"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Septiembre 2025</w:t>
            </w:r>
          </w:p>
        </w:tc>
        <w:tc>
          <w:tcPr>
            <w:tcW w:w="1414" w:type="dxa"/>
            <w:tcBorders>
              <w:top w:val="nil"/>
              <w:left w:val="nil"/>
              <w:bottom w:val="single" w:sz="4" w:space="0" w:color="auto"/>
              <w:right w:val="single" w:sz="4" w:space="0" w:color="auto"/>
            </w:tcBorders>
            <w:vAlign w:val="center"/>
          </w:tcPr>
          <w:p w14:paraId="4F38397C"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7</w:t>
            </w:r>
          </w:p>
        </w:tc>
        <w:tc>
          <w:tcPr>
            <w:tcW w:w="879" w:type="dxa"/>
            <w:tcBorders>
              <w:top w:val="nil"/>
              <w:left w:val="nil"/>
              <w:bottom w:val="single" w:sz="4" w:space="0" w:color="auto"/>
              <w:right w:val="single" w:sz="4" w:space="0" w:color="auto"/>
            </w:tcBorders>
            <w:vAlign w:val="center"/>
          </w:tcPr>
          <w:p w14:paraId="3B022C22"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c>
          <w:tcPr>
            <w:tcW w:w="933" w:type="dxa"/>
            <w:tcBorders>
              <w:top w:val="nil"/>
              <w:left w:val="nil"/>
              <w:bottom w:val="single" w:sz="4" w:space="0" w:color="auto"/>
              <w:right w:val="single" w:sz="4" w:space="0" w:color="auto"/>
            </w:tcBorders>
            <w:vAlign w:val="center"/>
          </w:tcPr>
          <w:p w14:paraId="5D63D5EA"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2</w:t>
            </w:r>
          </w:p>
        </w:tc>
        <w:tc>
          <w:tcPr>
            <w:tcW w:w="1143" w:type="dxa"/>
            <w:tcBorders>
              <w:top w:val="nil"/>
              <w:left w:val="nil"/>
              <w:bottom w:val="single" w:sz="4" w:space="0" w:color="auto"/>
              <w:right w:val="single" w:sz="4" w:space="0" w:color="auto"/>
            </w:tcBorders>
            <w:vAlign w:val="center"/>
          </w:tcPr>
          <w:p w14:paraId="5A12495F"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2</w:t>
            </w:r>
          </w:p>
        </w:tc>
        <w:tc>
          <w:tcPr>
            <w:tcW w:w="1455" w:type="dxa"/>
            <w:tcBorders>
              <w:top w:val="nil"/>
              <w:left w:val="nil"/>
              <w:bottom w:val="single" w:sz="4" w:space="0" w:color="auto"/>
              <w:right w:val="single" w:sz="4" w:space="0" w:color="auto"/>
            </w:tcBorders>
            <w:vAlign w:val="bottom"/>
          </w:tcPr>
          <w:p w14:paraId="0A95B9C6"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3</w:t>
            </w:r>
          </w:p>
        </w:tc>
        <w:tc>
          <w:tcPr>
            <w:tcW w:w="876" w:type="dxa"/>
            <w:tcBorders>
              <w:top w:val="nil"/>
              <w:left w:val="nil"/>
              <w:bottom w:val="single" w:sz="4" w:space="0" w:color="auto"/>
              <w:right w:val="single" w:sz="4" w:space="0" w:color="auto"/>
            </w:tcBorders>
            <w:vAlign w:val="center"/>
          </w:tcPr>
          <w:p w14:paraId="2D04A8DD"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r>
      <w:tr w:rsidR="00F70C7D" w:rsidRPr="00232EBB" w14:paraId="6DF18844" w14:textId="77777777" w:rsidTr="00231D31">
        <w:trPr>
          <w:trHeight w:val="211"/>
          <w:jc w:val="center"/>
        </w:trPr>
        <w:tc>
          <w:tcPr>
            <w:tcW w:w="1359" w:type="dxa"/>
            <w:tcBorders>
              <w:top w:val="nil"/>
              <w:left w:val="single" w:sz="4" w:space="0" w:color="auto"/>
              <w:bottom w:val="single" w:sz="4" w:space="0" w:color="auto"/>
              <w:right w:val="single" w:sz="4" w:space="0" w:color="auto"/>
            </w:tcBorders>
            <w:vAlign w:val="bottom"/>
          </w:tcPr>
          <w:p w14:paraId="6AACC6AE"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Octubre 2025</w:t>
            </w:r>
          </w:p>
        </w:tc>
        <w:tc>
          <w:tcPr>
            <w:tcW w:w="1414" w:type="dxa"/>
            <w:tcBorders>
              <w:top w:val="nil"/>
              <w:left w:val="nil"/>
              <w:bottom w:val="single" w:sz="4" w:space="0" w:color="auto"/>
              <w:right w:val="single" w:sz="4" w:space="0" w:color="auto"/>
            </w:tcBorders>
            <w:vAlign w:val="center"/>
          </w:tcPr>
          <w:p w14:paraId="014EE8FE"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6</w:t>
            </w:r>
          </w:p>
        </w:tc>
        <w:tc>
          <w:tcPr>
            <w:tcW w:w="879" w:type="dxa"/>
            <w:tcBorders>
              <w:top w:val="nil"/>
              <w:left w:val="nil"/>
              <w:bottom w:val="single" w:sz="4" w:space="0" w:color="auto"/>
              <w:right w:val="single" w:sz="4" w:space="0" w:color="auto"/>
            </w:tcBorders>
            <w:vAlign w:val="center"/>
          </w:tcPr>
          <w:p w14:paraId="4B4CFB57"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4</w:t>
            </w:r>
          </w:p>
        </w:tc>
        <w:tc>
          <w:tcPr>
            <w:tcW w:w="933" w:type="dxa"/>
            <w:tcBorders>
              <w:top w:val="nil"/>
              <w:left w:val="nil"/>
              <w:bottom w:val="single" w:sz="4" w:space="0" w:color="auto"/>
              <w:right w:val="single" w:sz="4" w:space="0" w:color="auto"/>
            </w:tcBorders>
            <w:vAlign w:val="center"/>
          </w:tcPr>
          <w:p w14:paraId="635312BE"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2</w:t>
            </w:r>
          </w:p>
        </w:tc>
        <w:tc>
          <w:tcPr>
            <w:tcW w:w="1143" w:type="dxa"/>
            <w:tcBorders>
              <w:top w:val="nil"/>
              <w:left w:val="nil"/>
              <w:bottom w:val="single" w:sz="4" w:space="0" w:color="auto"/>
              <w:right w:val="single" w:sz="4" w:space="0" w:color="auto"/>
            </w:tcBorders>
            <w:vAlign w:val="center"/>
          </w:tcPr>
          <w:p w14:paraId="0502FC09"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c>
          <w:tcPr>
            <w:tcW w:w="1455" w:type="dxa"/>
            <w:tcBorders>
              <w:top w:val="nil"/>
              <w:left w:val="nil"/>
              <w:bottom w:val="single" w:sz="4" w:space="0" w:color="auto"/>
              <w:right w:val="single" w:sz="4" w:space="0" w:color="auto"/>
            </w:tcBorders>
            <w:vAlign w:val="bottom"/>
          </w:tcPr>
          <w:p w14:paraId="5E8BA628"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c>
          <w:tcPr>
            <w:tcW w:w="876" w:type="dxa"/>
            <w:tcBorders>
              <w:top w:val="nil"/>
              <w:left w:val="nil"/>
              <w:bottom w:val="single" w:sz="4" w:space="0" w:color="auto"/>
              <w:right w:val="single" w:sz="4" w:space="0" w:color="auto"/>
            </w:tcBorders>
            <w:vAlign w:val="center"/>
          </w:tcPr>
          <w:p w14:paraId="2E7231E9"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r>
      <w:tr w:rsidR="00F70C7D" w:rsidRPr="00232EBB" w14:paraId="5187E92B" w14:textId="77777777" w:rsidTr="00231D31">
        <w:trPr>
          <w:trHeight w:val="211"/>
          <w:jc w:val="center"/>
        </w:trPr>
        <w:tc>
          <w:tcPr>
            <w:tcW w:w="1359" w:type="dxa"/>
            <w:tcBorders>
              <w:top w:val="nil"/>
              <w:left w:val="single" w:sz="4" w:space="0" w:color="auto"/>
              <w:bottom w:val="single" w:sz="4" w:space="0" w:color="auto"/>
              <w:right w:val="single" w:sz="4" w:space="0" w:color="auto"/>
            </w:tcBorders>
            <w:vAlign w:val="bottom"/>
          </w:tcPr>
          <w:p w14:paraId="660583A0"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Noviembre 2025</w:t>
            </w:r>
          </w:p>
        </w:tc>
        <w:tc>
          <w:tcPr>
            <w:tcW w:w="1414" w:type="dxa"/>
            <w:tcBorders>
              <w:top w:val="nil"/>
              <w:left w:val="nil"/>
              <w:bottom w:val="single" w:sz="4" w:space="0" w:color="auto"/>
              <w:right w:val="single" w:sz="4" w:space="0" w:color="auto"/>
            </w:tcBorders>
            <w:vAlign w:val="center"/>
          </w:tcPr>
          <w:p w14:paraId="7C9772C1"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6</w:t>
            </w:r>
          </w:p>
        </w:tc>
        <w:tc>
          <w:tcPr>
            <w:tcW w:w="879" w:type="dxa"/>
            <w:tcBorders>
              <w:top w:val="nil"/>
              <w:left w:val="nil"/>
              <w:bottom w:val="single" w:sz="4" w:space="0" w:color="auto"/>
              <w:right w:val="single" w:sz="4" w:space="0" w:color="auto"/>
            </w:tcBorders>
            <w:vAlign w:val="center"/>
          </w:tcPr>
          <w:p w14:paraId="591A49F4"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2</w:t>
            </w:r>
          </w:p>
        </w:tc>
        <w:tc>
          <w:tcPr>
            <w:tcW w:w="933" w:type="dxa"/>
            <w:tcBorders>
              <w:top w:val="nil"/>
              <w:left w:val="nil"/>
              <w:bottom w:val="single" w:sz="4" w:space="0" w:color="auto"/>
              <w:right w:val="single" w:sz="4" w:space="0" w:color="auto"/>
            </w:tcBorders>
            <w:vAlign w:val="center"/>
          </w:tcPr>
          <w:p w14:paraId="6093E896"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c>
          <w:tcPr>
            <w:tcW w:w="1143" w:type="dxa"/>
            <w:tcBorders>
              <w:top w:val="nil"/>
              <w:left w:val="nil"/>
              <w:bottom w:val="single" w:sz="4" w:space="0" w:color="auto"/>
              <w:right w:val="single" w:sz="4" w:space="0" w:color="auto"/>
            </w:tcBorders>
            <w:vAlign w:val="center"/>
          </w:tcPr>
          <w:p w14:paraId="254E9F41"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2</w:t>
            </w:r>
          </w:p>
        </w:tc>
        <w:tc>
          <w:tcPr>
            <w:tcW w:w="1455" w:type="dxa"/>
            <w:tcBorders>
              <w:top w:val="nil"/>
              <w:left w:val="nil"/>
              <w:bottom w:val="single" w:sz="4" w:space="0" w:color="auto"/>
              <w:right w:val="single" w:sz="4" w:space="0" w:color="auto"/>
            </w:tcBorders>
            <w:vAlign w:val="bottom"/>
          </w:tcPr>
          <w:p w14:paraId="54405582"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1</w:t>
            </w:r>
          </w:p>
        </w:tc>
        <w:tc>
          <w:tcPr>
            <w:tcW w:w="876" w:type="dxa"/>
            <w:tcBorders>
              <w:top w:val="nil"/>
              <w:left w:val="nil"/>
              <w:bottom w:val="single" w:sz="4" w:space="0" w:color="auto"/>
              <w:right w:val="single" w:sz="4" w:space="0" w:color="auto"/>
            </w:tcBorders>
            <w:vAlign w:val="center"/>
          </w:tcPr>
          <w:p w14:paraId="431D2E59" w14:textId="77777777" w:rsidR="00AA7F19" w:rsidRPr="00232EBB" w:rsidRDefault="00AA7F19" w:rsidP="0055368C">
            <w:pPr>
              <w:spacing w:after="0" w:line="240" w:lineRule="auto"/>
              <w:jc w:val="center"/>
              <w:rPr>
                <w:noProof/>
                <w:sz w:val="20"/>
                <w:szCs w:val="20"/>
                <w:lang w:val="es-MX"/>
              </w:rPr>
            </w:pPr>
            <w:r w:rsidRPr="00232EBB">
              <w:rPr>
                <w:noProof/>
                <w:sz w:val="20"/>
                <w:szCs w:val="20"/>
                <w:lang w:val="es-MX"/>
              </w:rPr>
              <w:t>0</w:t>
            </w:r>
          </w:p>
        </w:tc>
      </w:tr>
      <w:tr w:rsidR="00F70C7D" w:rsidRPr="00232EBB" w14:paraId="7FC3B4F0" w14:textId="77777777" w:rsidTr="004F330B">
        <w:trPr>
          <w:trHeight w:val="431"/>
          <w:jc w:val="center"/>
        </w:trPr>
        <w:tc>
          <w:tcPr>
            <w:tcW w:w="1359" w:type="dxa"/>
            <w:tcBorders>
              <w:top w:val="nil"/>
              <w:left w:val="single" w:sz="4" w:space="0" w:color="auto"/>
              <w:bottom w:val="single" w:sz="4" w:space="0" w:color="auto"/>
              <w:right w:val="single" w:sz="4" w:space="0" w:color="auto"/>
            </w:tcBorders>
            <w:vAlign w:val="bottom"/>
          </w:tcPr>
          <w:p w14:paraId="6608F27B" w14:textId="77777777" w:rsidR="00AA7F19" w:rsidRPr="00232EBB" w:rsidRDefault="00AA7F19" w:rsidP="0055368C">
            <w:pPr>
              <w:spacing w:after="0" w:line="240" w:lineRule="auto"/>
              <w:jc w:val="center"/>
              <w:rPr>
                <w:b/>
                <w:bCs/>
                <w:noProof/>
                <w:sz w:val="20"/>
                <w:szCs w:val="20"/>
                <w:lang w:val="es-MX"/>
              </w:rPr>
            </w:pPr>
            <w:r w:rsidRPr="00232EBB">
              <w:rPr>
                <w:b/>
                <w:bCs/>
                <w:noProof/>
                <w:sz w:val="20"/>
                <w:szCs w:val="20"/>
                <w:lang w:val="es-MX"/>
              </w:rPr>
              <w:t>TOTAL</w:t>
            </w:r>
          </w:p>
        </w:tc>
        <w:tc>
          <w:tcPr>
            <w:tcW w:w="1414" w:type="dxa"/>
            <w:tcBorders>
              <w:top w:val="nil"/>
              <w:left w:val="nil"/>
              <w:bottom w:val="single" w:sz="4" w:space="0" w:color="auto"/>
              <w:right w:val="single" w:sz="4" w:space="0" w:color="auto"/>
            </w:tcBorders>
            <w:vAlign w:val="center"/>
          </w:tcPr>
          <w:p w14:paraId="004B4D0D" w14:textId="77777777" w:rsidR="00AA7F19" w:rsidRPr="00232EBB" w:rsidRDefault="00AA7F19" w:rsidP="0055368C">
            <w:pPr>
              <w:spacing w:after="0" w:line="240" w:lineRule="auto"/>
              <w:jc w:val="center"/>
              <w:rPr>
                <w:b/>
                <w:bCs/>
                <w:noProof/>
                <w:sz w:val="20"/>
                <w:szCs w:val="20"/>
                <w:lang w:val="es-MX"/>
              </w:rPr>
            </w:pPr>
            <w:r w:rsidRPr="00232EBB">
              <w:rPr>
                <w:b/>
                <w:bCs/>
                <w:noProof/>
                <w:sz w:val="20"/>
                <w:szCs w:val="20"/>
                <w:lang w:val="es-MX"/>
              </w:rPr>
              <w:t>61</w:t>
            </w:r>
          </w:p>
        </w:tc>
        <w:tc>
          <w:tcPr>
            <w:tcW w:w="879" w:type="dxa"/>
            <w:tcBorders>
              <w:top w:val="nil"/>
              <w:left w:val="nil"/>
              <w:bottom w:val="single" w:sz="4" w:space="0" w:color="auto"/>
              <w:right w:val="single" w:sz="4" w:space="0" w:color="auto"/>
            </w:tcBorders>
            <w:vAlign w:val="center"/>
          </w:tcPr>
          <w:p w14:paraId="63D7A291" w14:textId="77777777" w:rsidR="00AA7F19" w:rsidRPr="00232EBB" w:rsidRDefault="00AA7F19" w:rsidP="0055368C">
            <w:pPr>
              <w:spacing w:after="0" w:line="240" w:lineRule="auto"/>
              <w:jc w:val="center"/>
              <w:rPr>
                <w:b/>
                <w:bCs/>
                <w:noProof/>
                <w:sz w:val="20"/>
                <w:szCs w:val="20"/>
                <w:lang w:val="es-MX"/>
              </w:rPr>
            </w:pPr>
            <w:r w:rsidRPr="00232EBB">
              <w:rPr>
                <w:b/>
                <w:bCs/>
                <w:noProof/>
                <w:sz w:val="20"/>
                <w:szCs w:val="20"/>
                <w:lang w:val="es-MX"/>
              </w:rPr>
              <w:t>18</w:t>
            </w:r>
          </w:p>
        </w:tc>
        <w:tc>
          <w:tcPr>
            <w:tcW w:w="933" w:type="dxa"/>
            <w:tcBorders>
              <w:top w:val="nil"/>
              <w:left w:val="nil"/>
              <w:bottom w:val="single" w:sz="4" w:space="0" w:color="auto"/>
              <w:right w:val="single" w:sz="4" w:space="0" w:color="auto"/>
            </w:tcBorders>
            <w:vAlign w:val="center"/>
          </w:tcPr>
          <w:p w14:paraId="62849361" w14:textId="77777777" w:rsidR="00AA7F19" w:rsidRPr="00232EBB" w:rsidRDefault="00AA7F19" w:rsidP="0055368C">
            <w:pPr>
              <w:spacing w:after="0" w:line="240" w:lineRule="auto"/>
              <w:jc w:val="center"/>
              <w:rPr>
                <w:b/>
                <w:bCs/>
                <w:noProof/>
                <w:sz w:val="20"/>
                <w:szCs w:val="20"/>
                <w:lang w:val="es-MX"/>
              </w:rPr>
            </w:pPr>
            <w:r w:rsidRPr="00232EBB">
              <w:rPr>
                <w:b/>
                <w:bCs/>
                <w:noProof/>
                <w:sz w:val="20"/>
                <w:szCs w:val="20"/>
                <w:lang w:val="es-MX"/>
              </w:rPr>
              <w:t>22</w:t>
            </w:r>
          </w:p>
        </w:tc>
        <w:tc>
          <w:tcPr>
            <w:tcW w:w="1143" w:type="dxa"/>
            <w:tcBorders>
              <w:top w:val="nil"/>
              <w:left w:val="nil"/>
              <w:bottom w:val="single" w:sz="4" w:space="0" w:color="auto"/>
              <w:right w:val="single" w:sz="4" w:space="0" w:color="auto"/>
            </w:tcBorders>
            <w:vAlign w:val="center"/>
          </w:tcPr>
          <w:p w14:paraId="1316DE63" w14:textId="77777777" w:rsidR="00AA7F19" w:rsidRPr="00232EBB" w:rsidRDefault="00AA7F19" w:rsidP="0055368C">
            <w:pPr>
              <w:spacing w:after="0" w:line="240" w:lineRule="auto"/>
              <w:jc w:val="center"/>
              <w:rPr>
                <w:b/>
                <w:bCs/>
                <w:noProof/>
                <w:sz w:val="20"/>
                <w:szCs w:val="20"/>
                <w:lang w:val="es-MX"/>
              </w:rPr>
            </w:pPr>
            <w:r w:rsidRPr="00232EBB">
              <w:rPr>
                <w:b/>
                <w:bCs/>
                <w:noProof/>
                <w:sz w:val="20"/>
                <w:szCs w:val="20"/>
                <w:lang w:val="es-MX"/>
              </w:rPr>
              <w:t>09</w:t>
            </w:r>
          </w:p>
        </w:tc>
        <w:tc>
          <w:tcPr>
            <w:tcW w:w="1455" w:type="dxa"/>
            <w:tcBorders>
              <w:top w:val="nil"/>
              <w:left w:val="nil"/>
              <w:bottom w:val="single" w:sz="4" w:space="0" w:color="auto"/>
              <w:right w:val="single" w:sz="4" w:space="0" w:color="auto"/>
            </w:tcBorders>
            <w:vAlign w:val="center"/>
          </w:tcPr>
          <w:p w14:paraId="6F5E2FE3" w14:textId="77777777" w:rsidR="00AA7F19" w:rsidRPr="00232EBB" w:rsidRDefault="00AA7F19" w:rsidP="0055368C">
            <w:pPr>
              <w:spacing w:after="0" w:line="240" w:lineRule="auto"/>
              <w:jc w:val="center"/>
              <w:rPr>
                <w:b/>
                <w:bCs/>
                <w:noProof/>
                <w:sz w:val="20"/>
                <w:szCs w:val="20"/>
                <w:lang w:val="es-MX"/>
              </w:rPr>
            </w:pPr>
            <w:r w:rsidRPr="00232EBB">
              <w:rPr>
                <w:b/>
                <w:bCs/>
                <w:noProof/>
                <w:sz w:val="20"/>
                <w:szCs w:val="20"/>
                <w:lang w:val="es-MX"/>
              </w:rPr>
              <w:t>11</w:t>
            </w:r>
          </w:p>
        </w:tc>
        <w:tc>
          <w:tcPr>
            <w:tcW w:w="876" w:type="dxa"/>
            <w:tcBorders>
              <w:top w:val="nil"/>
              <w:left w:val="nil"/>
              <w:bottom w:val="single" w:sz="4" w:space="0" w:color="auto"/>
              <w:right w:val="single" w:sz="4" w:space="0" w:color="auto"/>
            </w:tcBorders>
            <w:vAlign w:val="center"/>
          </w:tcPr>
          <w:p w14:paraId="0B6012F3" w14:textId="77777777" w:rsidR="00AA7F19" w:rsidRPr="00232EBB" w:rsidRDefault="00AA7F19" w:rsidP="00F70C7D">
            <w:pPr>
              <w:spacing w:after="0" w:line="240" w:lineRule="auto"/>
              <w:jc w:val="center"/>
              <w:rPr>
                <w:b/>
                <w:bCs/>
                <w:noProof/>
                <w:sz w:val="20"/>
                <w:szCs w:val="20"/>
                <w:lang w:val="es-MX"/>
              </w:rPr>
            </w:pPr>
            <w:r w:rsidRPr="00232EBB">
              <w:rPr>
                <w:b/>
                <w:bCs/>
                <w:noProof/>
                <w:sz w:val="20"/>
                <w:szCs w:val="20"/>
                <w:lang w:val="es-MX"/>
              </w:rPr>
              <w:t>0</w:t>
            </w:r>
          </w:p>
        </w:tc>
      </w:tr>
    </w:tbl>
    <w:p w14:paraId="26258F3C" w14:textId="77777777" w:rsidR="00E57A65" w:rsidRPr="00232EBB" w:rsidRDefault="00E57A65" w:rsidP="00AA7F19">
      <w:pPr>
        <w:autoSpaceDE w:val="0"/>
        <w:autoSpaceDN w:val="0"/>
        <w:adjustRightInd w:val="0"/>
        <w:spacing w:after="0" w:line="360" w:lineRule="auto"/>
        <w:rPr>
          <w:b/>
          <w:bCs/>
          <w:noProof/>
          <w:sz w:val="18"/>
          <w:szCs w:val="18"/>
          <w:lang w:val="es-MX"/>
        </w:rPr>
      </w:pPr>
    </w:p>
    <w:p w14:paraId="63354CBF" w14:textId="388236AB" w:rsidR="00AA7F19" w:rsidRPr="00232EBB" w:rsidRDefault="00E57A65" w:rsidP="00AA7F19">
      <w:pPr>
        <w:autoSpaceDE w:val="0"/>
        <w:autoSpaceDN w:val="0"/>
        <w:adjustRightInd w:val="0"/>
        <w:spacing w:after="0" w:line="360" w:lineRule="auto"/>
        <w:rPr>
          <w:noProof/>
          <w:sz w:val="18"/>
          <w:szCs w:val="18"/>
          <w:lang w:val="es-MX"/>
        </w:rPr>
      </w:pPr>
      <w:r w:rsidRPr="00232EBB">
        <w:rPr>
          <w:b/>
          <w:bCs/>
          <w:noProof/>
          <w:sz w:val="18"/>
          <w:szCs w:val="18"/>
          <w:lang w:val="es-MX"/>
        </w:rPr>
        <w:t>Tabla 2</w:t>
      </w:r>
      <w:r w:rsidR="00E27BAB">
        <w:rPr>
          <w:b/>
          <w:bCs/>
          <w:noProof/>
          <w:sz w:val="18"/>
          <w:szCs w:val="18"/>
          <w:lang w:val="es-MX"/>
        </w:rPr>
        <w:t>5</w:t>
      </w:r>
      <w:r w:rsidRPr="00232EBB">
        <w:rPr>
          <w:b/>
          <w:bCs/>
          <w:noProof/>
          <w:sz w:val="18"/>
          <w:szCs w:val="18"/>
          <w:lang w:val="es-MX"/>
        </w:rPr>
        <w:t xml:space="preserve">: </w:t>
      </w:r>
      <w:r w:rsidRPr="00232EBB">
        <w:rPr>
          <w:noProof/>
          <w:sz w:val="18"/>
          <w:szCs w:val="18"/>
          <w:lang w:val="es-MX"/>
        </w:rPr>
        <w:t>Solicitudes respondidas OAI</w:t>
      </w:r>
    </w:p>
    <w:p w14:paraId="06B426C0" w14:textId="77777777" w:rsidR="00141AA5" w:rsidRPr="00232EBB" w:rsidRDefault="00141AA5" w:rsidP="00141AA5">
      <w:pPr>
        <w:spacing w:before="240" w:line="360" w:lineRule="auto"/>
        <w:jc w:val="both"/>
        <w:rPr>
          <w:rFonts w:eastAsia="Calibri"/>
          <w:lang w:val="es-DO"/>
        </w:rPr>
      </w:pPr>
      <w:r w:rsidRPr="00232EBB">
        <w:rPr>
          <w:rFonts w:eastAsia="Calibri"/>
          <w:lang w:val="es-DO"/>
        </w:rPr>
        <w:t>Al cierre del 2025, hemos recibido un total 66 solicitudes, las cuales fueron respondidas en los plazos siguientes, de estas diez (10) fueron remitidas a otras instituciones, once (11) rechazadas, veintidós (22) respondidas de 10-15 días, veintidós (22) antes de los 10 días.</w:t>
      </w:r>
    </w:p>
    <w:p w14:paraId="1A732C62" w14:textId="5FA7907E" w:rsidR="00A83076" w:rsidRPr="00232EBB" w:rsidRDefault="00A83076" w:rsidP="000D0686">
      <w:pPr>
        <w:pStyle w:val="Heading1"/>
        <w:spacing w:after="240" w:line="259" w:lineRule="auto"/>
        <w:jc w:val="left"/>
        <w:rPr>
          <w:rFonts w:cs="Times New Roman"/>
          <w:spacing w:val="0"/>
          <w:lang w:val="es-DO"/>
        </w:rPr>
      </w:pPr>
      <w:bookmarkStart w:id="295" w:name="_Toc216952273"/>
      <w:r w:rsidRPr="00232EBB">
        <w:rPr>
          <w:rFonts w:cs="Times New Roman"/>
          <w:spacing w:val="0"/>
          <w:lang w:val="es-DO"/>
        </w:rPr>
        <w:t>5.3 Resultados Sistema de Quejas, Reclamos y Sugerencias</w:t>
      </w:r>
      <w:bookmarkEnd w:id="289"/>
      <w:bookmarkEnd w:id="295"/>
    </w:p>
    <w:p w14:paraId="52A64EFF" w14:textId="42AED291" w:rsidR="00B0637A" w:rsidRPr="00232EBB" w:rsidRDefault="00B0637A" w:rsidP="009F0AC3">
      <w:pPr>
        <w:spacing w:line="360" w:lineRule="auto"/>
        <w:jc w:val="both"/>
        <w:rPr>
          <w:rFonts w:eastAsia="Calibri"/>
          <w:noProof/>
          <w:lang w:val="es-DO"/>
        </w:rPr>
      </w:pPr>
      <w:r w:rsidRPr="00232EBB">
        <w:rPr>
          <w:rFonts w:eastAsia="Calibri"/>
          <w:noProof/>
          <w:lang w:val="es-DO"/>
        </w:rPr>
        <w:t xml:space="preserve">La Tesorería de la Seguridad Social, como parte fundamental de su cultura organizacional, y reconociendo la importancia de las percepciones de sus partes interesadas, se compromete a escuchar activamente sus opiniones y evaluar la satisfacción de los servicios brindados. Para ello, se apoya en encuestas y en el seguimiento de los comentarios de los usuarios a través de los distintos canales de comunicación disponibles. </w:t>
      </w:r>
    </w:p>
    <w:p w14:paraId="1D9DC7FB" w14:textId="77777777" w:rsidR="00141AA5" w:rsidRPr="00232EBB" w:rsidRDefault="00141AA5" w:rsidP="00141AA5">
      <w:pPr>
        <w:spacing w:after="240" w:line="360" w:lineRule="auto"/>
        <w:jc w:val="both"/>
        <w:rPr>
          <w:rFonts w:eastAsia="Calibri"/>
          <w:lang w:val="es-DO"/>
        </w:rPr>
      </w:pPr>
      <w:bookmarkStart w:id="296" w:name="_Hlk170978229"/>
      <w:r w:rsidRPr="00232EBB">
        <w:rPr>
          <w:rFonts w:eastAsia="Calibri"/>
          <w:lang w:val="es-DO"/>
        </w:rPr>
        <w:lastRenderedPageBreak/>
        <w:t>Al cierre del 2025, fueron gestionadas 11 atenciones por el sistema de quejas, reclamos y sugerencias (Línea 3-1-1).</w:t>
      </w:r>
    </w:p>
    <w:p w14:paraId="7134BB5B" w14:textId="77777777" w:rsidR="00141AA5" w:rsidRPr="00232EBB" w:rsidRDefault="00E57A65" w:rsidP="00E57A65">
      <w:pPr>
        <w:spacing w:before="240" w:after="240" w:line="360" w:lineRule="auto"/>
        <w:jc w:val="both"/>
        <w:rPr>
          <w:rFonts w:eastAsia="Calibri"/>
          <w:noProof/>
          <w:lang w:val="es-DO"/>
        </w:rPr>
      </w:pPr>
      <w:r w:rsidRPr="00232EBB">
        <w:rPr>
          <w:rFonts w:eastAsia="Calibri"/>
          <w:noProof/>
          <w:lang w:val="es-DO"/>
        </w:rPr>
        <w:t xml:space="preserve">Todos los casos registrados corresponden a quejas, la scuales fueron gestionadas en los plazos correspondientes. </w:t>
      </w:r>
    </w:p>
    <w:tbl>
      <w:tblPr>
        <w:tblW w:w="4684" w:type="dxa"/>
        <w:jc w:val="center"/>
        <w:tblLook w:val="04A0" w:firstRow="1" w:lastRow="0" w:firstColumn="1" w:lastColumn="0" w:noHBand="0" w:noVBand="1"/>
      </w:tblPr>
      <w:tblGrid>
        <w:gridCol w:w="2553"/>
        <w:gridCol w:w="2131"/>
      </w:tblGrid>
      <w:tr w:rsidR="00E57A65" w:rsidRPr="00232EBB" w14:paraId="337BB89F" w14:textId="77777777" w:rsidTr="005F0C09">
        <w:trPr>
          <w:trHeight w:val="422"/>
          <w:jc w:val="center"/>
        </w:trPr>
        <w:tc>
          <w:tcPr>
            <w:tcW w:w="2553" w:type="dxa"/>
            <w:tcBorders>
              <w:top w:val="single" w:sz="4" w:space="0" w:color="auto"/>
              <w:left w:val="single" w:sz="4" w:space="0" w:color="auto"/>
              <w:bottom w:val="single" w:sz="4" w:space="0" w:color="auto"/>
              <w:right w:val="single" w:sz="4" w:space="0" w:color="auto"/>
            </w:tcBorders>
            <w:shd w:val="clear" w:color="000000" w:fill="1F3864"/>
            <w:vAlign w:val="center"/>
            <w:hideMark/>
          </w:tcPr>
          <w:p w14:paraId="1AF6468D" w14:textId="51F30E11" w:rsidR="00E57A65" w:rsidRPr="00232EBB" w:rsidRDefault="00E57A65" w:rsidP="0055368C">
            <w:pPr>
              <w:spacing w:before="240" w:after="0" w:line="240" w:lineRule="auto"/>
              <w:jc w:val="center"/>
              <w:rPr>
                <w:rFonts w:eastAsia="Calibri"/>
                <w:noProof/>
                <w:color w:val="FFFFFF" w:themeColor="background1"/>
                <w:lang w:val="es-DO"/>
              </w:rPr>
            </w:pPr>
            <w:r w:rsidRPr="00232EBB">
              <w:rPr>
                <w:rFonts w:eastAsia="Calibri"/>
                <w:noProof/>
                <w:lang w:val="es-DO"/>
              </w:rPr>
              <w:t xml:space="preserve"> </w:t>
            </w:r>
            <w:r w:rsidR="00690EA0" w:rsidRPr="00232EBB">
              <w:rPr>
                <w:rFonts w:eastAsia="Calibri"/>
                <w:b/>
                <w:bCs/>
                <w:noProof/>
                <w:sz w:val="18"/>
                <w:szCs w:val="18"/>
                <w:lang w:val="es-DO"/>
              </w:rPr>
              <w:t xml:space="preserve"> </w:t>
            </w:r>
            <w:r w:rsidRPr="00232EBB">
              <w:rPr>
                <w:rFonts w:eastAsia="Calibri"/>
                <w:noProof/>
                <w:color w:val="FFFFFF" w:themeColor="background1"/>
                <w:lang w:val="es-DO"/>
              </w:rPr>
              <w:t>Motivos</w:t>
            </w:r>
          </w:p>
        </w:tc>
        <w:tc>
          <w:tcPr>
            <w:tcW w:w="2131" w:type="dxa"/>
            <w:tcBorders>
              <w:top w:val="single" w:sz="4" w:space="0" w:color="auto"/>
              <w:left w:val="nil"/>
              <w:bottom w:val="single" w:sz="4" w:space="0" w:color="auto"/>
              <w:right w:val="single" w:sz="4" w:space="0" w:color="auto"/>
            </w:tcBorders>
            <w:shd w:val="clear" w:color="000000" w:fill="1F3864"/>
            <w:vAlign w:val="center"/>
            <w:hideMark/>
          </w:tcPr>
          <w:p w14:paraId="74FD4638" w14:textId="77777777" w:rsidR="00E57A65" w:rsidRPr="00232EBB" w:rsidRDefault="00E57A65" w:rsidP="0055368C">
            <w:pPr>
              <w:spacing w:before="240" w:after="0" w:line="240" w:lineRule="auto"/>
              <w:jc w:val="center"/>
              <w:rPr>
                <w:rFonts w:eastAsia="Calibri"/>
                <w:noProof/>
                <w:color w:val="FFFFFF" w:themeColor="background1"/>
                <w:lang w:val="es-DO"/>
              </w:rPr>
            </w:pPr>
            <w:r w:rsidRPr="00232EBB">
              <w:rPr>
                <w:rFonts w:eastAsia="Calibri"/>
                <w:noProof/>
                <w:color w:val="FFFFFF" w:themeColor="background1"/>
                <w:lang w:val="es-DO"/>
              </w:rPr>
              <w:t>Cantidad</w:t>
            </w:r>
          </w:p>
        </w:tc>
      </w:tr>
      <w:tr w:rsidR="00E57A65" w:rsidRPr="00232EBB" w14:paraId="269BBC12" w14:textId="77777777" w:rsidTr="005F0C09">
        <w:trPr>
          <w:trHeight w:val="322"/>
          <w:jc w:val="center"/>
        </w:trPr>
        <w:tc>
          <w:tcPr>
            <w:tcW w:w="2553" w:type="dxa"/>
            <w:tcBorders>
              <w:top w:val="single" w:sz="8" w:space="0" w:color="auto"/>
              <w:left w:val="single" w:sz="8" w:space="0" w:color="auto"/>
              <w:bottom w:val="single" w:sz="8" w:space="0" w:color="auto"/>
              <w:right w:val="single" w:sz="8" w:space="0" w:color="auto"/>
            </w:tcBorders>
            <w:vAlign w:val="center"/>
            <w:hideMark/>
          </w:tcPr>
          <w:p w14:paraId="2C66835B" w14:textId="77777777" w:rsidR="00E57A65" w:rsidRPr="00232EBB" w:rsidRDefault="00E57A65" w:rsidP="0055368C">
            <w:pPr>
              <w:spacing w:before="240" w:after="0" w:line="240" w:lineRule="auto"/>
              <w:jc w:val="center"/>
              <w:rPr>
                <w:rFonts w:eastAsia="Calibri"/>
                <w:noProof/>
                <w:lang w:val="es-DO"/>
              </w:rPr>
            </w:pPr>
            <w:r w:rsidRPr="00232EBB">
              <w:rPr>
                <w:rFonts w:eastAsia="Calibri"/>
                <w:noProof/>
                <w:lang w:val="es-DO"/>
              </w:rPr>
              <w:t xml:space="preserve">Sugerencias </w:t>
            </w:r>
          </w:p>
        </w:tc>
        <w:tc>
          <w:tcPr>
            <w:tcW w:w="2131" w:type="dxa"/>
            <w:tcBorders>
              <w:top w:val="single" w:sz="8" w:space="0" w:color="auto"/>
              <w:left w:val="nil"/>
              <w:bottom w:val="single" w:sz="8" w:space="0" w:color="auto"/>
              <w:right w:val="single" w:sz="8" w:space="0" w:color="auto"/>
            </w:tcBorders>
            <w:vAlign w:val="center"/>
            <w:hideMark/>
          </w:tcPr>
          <w:p w14:paraId="73C9FA7E" w14:textId="77777777" w:rsidR="00E57A65" w:rsidRPr="00232EBB" w:rsidRDefault="00E57A65" w:rsidP="0055368C">
            <w:pPr>
              <w:spacing w:before="240" w:after="0" w:line="240" w:lineRule="auto"/>
              <w:jc w:val="center"/>
              <w:rPr>
                <w:rFonts w:eastAsia="Calibri"/>
                <w:noProof/>
                <w:lang w:val="es-DO"/>
              </w:rPr>
            </w:pPr>
            <w:r w:rsidRPr="00232EBB">
              <w:rPr>
                <w:rFonts w:eastAsia="Calibri"/>
                <w:noProof/>
                <w:lang w:val="es-DO"/>
              </w:rPr>
              <w:t>0</w:t>
            </w:r>
          </w:p>
        </w:tc>
      </w:tr>
      <w:tr w:rsidR="00E57A65" w:rsidRPr="00232EBB" w14:paraId="1D594F46" w14:textId="77777777" w:rsidTr="005F0C09">
        <w:trPr>
          <w:trHeight w:val="475"/>
          <w:jc w:val="center"/>
        </w:trPr>
        <w:tc>
          <w:tcPr>
            <w:tcW w:w="2553" w:type="dxa"/>
            <w:tcBorders>
              <w:top w:val="nil"/>
              <w:left w:val="single" w:sz="8" w:space="0" w:color="auto"/>
              <w:bottom w:val="single" w:sz="8" w:space="0" w:color="auto"/>
              <w:right w:val="single" w:sz="8" w:space="0" w:color="auto"/>
            </w:tcBorders>
            <w:vAlign w:val="center"/>
            <w:hideMark/>
          </w:tcPr>
          <w:p w14:paraId="3F8AC19A" w14:textId="77777777" w:rsidR="00E57A65" w:rsidRPr="00232EBB" w:rsidRDefault="00E57A65" w:rsidP="0055368C">
            <w:pPr>
              <w:spacing w:before="240" w:after="0" w:line="240" w:lineRule="auto"/>
              <w:jc w:val="center"/>
              <w:rPr>
                <w:rFonts w:eastAsia="Calibri"/>
                <w:noProof/>
                <w:lang w:val="es-DO"/>
              </w:rPr>
            </w:pPr>
            <w:r w:rsidRPr="00232EBB">
              <w:rPr>
                <w:rFonts w:eastAsia="Calibri"/>
                <w:noProof/>
                <w:lang w:val="es-DO"/>
              </w:rPr>
              <w:t xml:space="preserve">Quejas </w:t>
            </w:r>
          </w:p>
        </w:tc>
        <w:tc>
          <w:tcPr>
            <w:tcW w:w="2131" w:type="dxa"/>
            <w:tcBorders>
              <w:top w:val="nil"/>
              <w:left w:val="nil"/>
              <w:bottom w:val="single" w:sz="8" w:space="0" w:color="auto"/>
              <w:right w:val="single" w:sz="8" w:space="0" w:color="auto"/>
            </w:tcBorders>
            <w:vAlign w:val="center"/>
            <w:hideMark/>
          </w:tcPr>
          <w:p w14:paraId="4931FA3A" w14:textId="27DE7EEF" w:rsidR="00E57A65" w:rsidRPr="00232EBB" w:rsidRDefault="00830CF3" w:rsidP="0055368C">
            <w:pPr>
              <w:spacing w:before="240" w:after="0" w:line="240" w:lineRule="auto"/>
              <w:jc w:val="center"/>
              <w:rPr>
                <w:rFonts w:eastAsia="Calibri"/>
                <w:noProof/>
                <w:lang w:val="es-DO"/>
              </w:rPr>
            </w:pPr>
            <w:r w:rsidRPr="00232EBB">
              <w:rPr>
                <w:rFonts w:eastAsia="Calibri"/>
                <w:noProof/>
                <w:lang w:val="es-DO"/>
              </w:rPr>
              <w:t>9</w:t>
            </w:r>
          </w:p>
        </w:tc>
      </w:tr>
      <w:tr w:rsidR="00E57A65" w:rsidRPr="00232EBB" w14:paraId="614C0F3F" w14:textId="77777777" w:rsidTr="005F0C09">
        <w:trPr>
          <w:trHeight w:val="322"/>
          <w:jc w:val="center"/>
        </w:trPr>
        <w:tc>
          <w:tcPr>
            <w:tcW w:w="2553" w:type="dxa"/>
            <w:tcBorders>
              <w:top w:val="nil"/>
              <w:left w:val="single" w:sz="8" w:space="0" w:color="auto"/>
              <w:bottom w:val="single" w:sz="8" w:space="0" w:color="auto"/>
              <w:right w:val="single" w:sz="8" w:space="0" w:color="auto"/>
            </w:tcBorders>
            <w:vAlign w:val="center"/>
            <w:hideMark/>
          </w:tcPr>
          <w:p w14:paraId="0642FFDC" w14:textId="77777777" w:rsidR="00E57A65" w:rsidRPr="00232EBB" w:rsidRDefault="00E57A65" w:rsidP="0055368C">
            <w:pPr>
              <w:spacing w:before="240" w:after="0" w:line="240" w:lineRule="auto"/>
              <w:jc w:val="center"/>
              <w:rPr>
                <w:rFonts w:eastAsia="Calibri"/>
                <w:noProof/>
                <w:lang w:val="es-DO"/>
              </w:rPr>
            </w:pPr>
            <w:r w:rsidRPr="00232EBB">
              <w:rPr>
                <w:rFonts w:eastAsia="Calibri"/>
                <w:noProof/>
                <w:lang w:val="es-DO"/>
              </w:rPr>
              <w:t>Reclamos</w:t>
            </w:r>
          </w:p>
        </w:tc>
        <w:tc>
          <w:tcPr>
            <w:tcW w:w="2131" w:type="dxa"/>
            <w:tcBorders>
              <w:top w:val="nil"/>
              <w:left w:val="nil"/>
              <w:bottom w:val="single" w:sz="8" w:space="0" w:color="auto"/>
              <w:right w:val="single" w:sz="8" w:space="0" w:color="auto"/>
            </w:tcBorders>
            <w:vAlign w:val="center"/>
            <w:hideMark/>
          </w:tcPr>
          <w:p w14:paraId="535E3CB7" w14:textId="77777777" w:rsidR="00E57A65" w:rsidRPr="00232EBB" w:rsidRDefault="00E57A65" w:rsidP="0055368C">
            <w:pPr>
              <w:spacing w:before="240" w:after="0" w:line="240" w:lineRule="auto"/>
              <w:jc w:val="center"/>
              <w:rPr>
                <w:rFonts w:eastAsia="Calibri"/>
                <w:noProof/>
                <w:lang w:val="es-DO"/>
              </w:rPr>
            </w:pPr>
            <w:r w:rsidRPr="00232EBB">
              <w:rPr>
                <w:rFonts w:eastAsia="Calibri"/>
                <w:noProof/>
                <w:lang w:val="es-DO"/>
              </w:rPr>
              <w:t>0</w:t>
            </w:r>
          </w:p>
        </w:tc>
      </w:tr>
    </w:tbl>
    <w:p w14:paraId="1E844066" w14:textId="77777777" w:rsidR="00E57A65" w:rsidRPr="00232EBB" w:rsidRDefault="00E57A65" w:rsidP="009F0AC3">
      <w:pPr>
        <w:spacing w:line="360" w:lineRule="auto"/>
        <w:jc w:val="both"/>
        <w:rPr>
          <w:rFonts w:eastAsia="Calibri"/>
          <w:b/>
          <w:bCs/>
          <w:noProof/>
          <w:sz w:val="18"/>
          <w:szCs w:val="18"/>
          <w:lang w:val="es-DO"/>
        </w:rPr>
      </w:pPr>
    </w:p>
    <w:p w14:paraId="6AE074B2" w14:textId="77E2EE0C" w:rsidR="009F0AC3" w:rsidRPr="00232EBB" w:rsidRDefault="00E57A65" w:rsidP="009F0AC3">
      <w:pPr>
        <w:spacing w:line="360" w:lineRule="auto"/>
        <w:jc w:val="both"/>
        <w:rPr>
          <w:rFonts w:eastAsia="Calibri"/>
          <w:noProof/>
          <w:sz w:val="18"/>
          <w:szCs w:val="18"/>
          <w:lang w:val="es-DO"/>
        </w:rPr>
      </w:pPr>
      <w:r w:rsidRPr="00232EBB">
        <w:rPr>
          <w:rFonts w:eastAsia="Calibri"/>
          <w:b/>
          <w:bCs/>
          <w:noProof/>
          <w:sz w:val="18"/>
          <w:szCs w:val="18"/>
          <w:lang w:val="es-DO"/>
        </w:rPr>
        <w:t xml:space="preserve">      Tabla </w:t>
      </w:r>
      <w:r w:rsidR="000400ED" w:rsidRPr="00232EBB">
        <w:rPr>
          <w:rFonts w:eastAsia="Calibri"/>
          <w:b/>
          <w:bCs/>
          <w:noProof/>
          <w:sz w:val="18"/>
          <w:szCs w:val="18"/>
          <w:lang w:val="es-DO"/>
        </w:rPr>
        <w:t>2</w:t>
      </w:r>
      <w:r w:rsidR="00E27BAB">
        <w:rPr>
          <w:rFonts w:eastAsia="Calibri"/>
          <w:b/>
          <w:bCs/>
          <w:noProof/>
          <w:sz w:val="18"/>
          <w:szCs w:val="18"/>
          <w:lang w:val="es-DO"/>
        </w:rPr>
        <w:t>6</w:t>
      </w:r>
      <w:r w:rsidRPr="00232EBB">
        <w:rPr>
          <w:rFonts w:eastAsia="Calibri"/>
          <w:b/>
          <w:bCs/>
          <w:noProof/>
          <w:sz w:val="18"/>
          <w:szCs w:val="18"/>
          <w:lang w:val="es-DO"/>
        </w:rPr>
        <w:t>:</w:t>
      </w:r>
      <w:r w:rsidRPr="00232EBB">
        <w:rPr>
          <w:rFonts w:eastAsia="Calibri"/>
          <w:noProof/>
          <w:sz w:val="18"/>
          <w:szCs w:val="18"/>
          <w:lang w:val="es-DO"/>
        </w:rPr>
        <w:t xml:space="preserve"> Cantidad de casos registrados</w:t>
      </w:r>
    </w:p>
    <w:p w14:paraId="6E777086" w14:textId="64BBBC8B" w:rsidR="00B0637A" w:rsidRPr="00232EBB" w:rsidRDefault="00E57A65" w:rsidP="009F0AC3">
      <w:pPr>
        <w:jc w:val="center"/>
        <w:rPr>
          <w:szCs w:val="36"/>
          <w:lang w:val="es-ES"/>
        </w:rPr>
      </w:pPr>
      <w:r w:rsidRPr="00232EBB">
        <w:rPr>
          <w:noProof/>
          <w:sz w:val="20"/>
          <w:szCs w:val="20"/>
          <w:lang w:val="es-DO"/>
        </w:rPr>
        <w:drawing>
          <wp:anchor distT="0" distB="0" distL="114300" distR="114300" simplePos="0" relativeHeight="251684900" behindDoc="0" locked="0" layoutInCell="1" allowOverlap="1" wp14:anchorId="5ACE367F" wp14:editId="3279FE92">
            <wp:simplePos x="0" y="0"/>
            <wp:positionH relativeFrom="margin">
              <wp:posOffset>334370</wp:posOffset>
            </wp:positionH>
            <wp:positionV relativeFrom="paragraph">
              <wp:posOffset>13648</wp:posOffset>
            </wp:positionV>
            <wp:extent cx="3864610" cy="2415653"/>
            <wp:effectExtent l="0" t="0" r="2540" b="3810"/>
            <wp:wrapSquare wrapText="bothSides"/>
            <wp:docPr id="1985019735"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14:sizeRelH relativeFrom="margin">
              <wp14:pctWidth>0</wp14:pctWidth>
            </wp14:sizeRelH>
            <wp14:sizeRelV relativeFrom="margin">
              <wp14:pctHeight>0</wp14:pctHeight>
            </wp14:sizeRelV>
          </wp:anchor>
        </w:drawing>
      </w:r>
    </w:p>
    <w:p w14:paraId="16C91CC1" w14:textId="2F2976B5" w:rsidR="00E57A65" w:rsidRPr="00232EBB" w:rsidRDefault="00E57A65" w:rsidP="00B0637A">
      <w:pPr>
        <w:spacing w:line="360" w:lineRule="auto"/>
        <w:jc w:val="both"/>
        <w:rPr>
          <w:rFonts w:eastAsia="Calibri"/>
          <w:noProof/>
          <w:lang w:val="es-DO"/>
        </w:rPr>
      </w:pPr>
    </w:p>
    <w:p w14:paraId="6C49252B" w14:textId="77777777" w:rsidR="00E57A65" w:rsidRPr="00232EBB" w:rsidRDefault="00E57A65" w:rsidP="00B0637A">
      <w:pPr>
        <w:spacing w:line="360" w:lineRule="auto"/>
        <w:jc w:val="both"/>
        <w:rPr>
          <w:rFonts w:eastAsia="Calibri"/>
          <w:noProof/>
          <w:lang w:val="es-DO"/>
        </w:rPr>
      </w:pPr>
    </w:p>
    <w:p w14:paraId="6FD3A318" w14:textId="77777777" w:rsidR="00E57A65" w:rsidRPr="00232EBB" w:rsidRDefault="00E57A65" w:rsidP="00B0637A">
      <w:pPr>
        <w:spacing w:line="360" w:lineRule="auto"/>
        <w:jc w:val="both"/>
        <w:rPr>
          <w:rFonts w:eastAsia="Calibri"/>
          <w:noProof/>
          <w:lang w:val="es-DO"/>
        </w:rPr>
      </w:pPr>
    </w:p>
    <w:p w14:paraId="1120F8DC" w14:textId="77777777" w:rsidR="00E57A65" w:rsidRPr="00232EBB" w:rsidRDefault="00E57A65" w:rsidP="00B0637A">
      <w:pPr>
        <w:spacing w:line="360" w:lineRule="auto"/>
        <w:jc w:val="both"/>
        <w:rPr>
          <w:rFonts w:eastAsia="Calibri"/>
          <w:noProof/>
          <w:lang w:val="es-DO"/>
        </w:rPr>
      </w:pPr>
    </w:p>
    <w:p w14:paraId="17A3A604" w14:textId="77777777" w:rsidR="00E57A65" w:rsidRPr="00232EBB" w:rsidRDefault="00E57A65" w:rsidP="00B0637A">
      <w:pPr>
        <w:spacing w:line="360" w:lineRule="auto"/>
        <w:jc w:val="both"/>
        <w:rPr>
          <w:rFonts w:eastAsia="Calibri"/>
          <w:b/>
          <w:bCs/>
          <w:noProof/>
          <w:sz w:val="18"/>
          <w:szCs w:val="18"/>
          <w:lang w:val="es-DO"/>
        </w:rPr>
      </w:pPr>
    </w:p>
    <w:p w14:paraId="2421A515" w14:textId="77777777" w:rsidR="00E57A65" w:rsidRPr="00232EBB" w:rsidRDefault="00E57A65" w:rsidP="00B0637A">
      <w:pPr>
        <w:spacing w:line="360" w:lineRule="auto"/>
        <w:jc w:val="both"/>
        <w:rPr>
          <w:rFonts w:eastAsia="Calibri"/>
          <w:b/>
          <w:bCs/>
          <w:noProof/>
          <w:sz w:val="18"/>
          <w:szCs w:val="18"/>
          <w:lang w:val="es-DO"/>
        </w:rPr>
      </w:pPr>
    </w:p>
    <w:p w14:paraId="75EEE0C4" w14:textId="77777777" w:rsidR="00D50627" w:rsidRPr="00232EBB" w:rsidRDefault="00D50627" w:rsidP="00B0637A">
      <w:pPr>
        <w:spacing w:line="360" w:lineRule="auto"/>
        <w:jc w:val="both"/>
        <w:rPr>
          <w:rFonts w:eastAsia="Calibri"/>
          <w:b/>
          <w:bCs/>
          <w:noProof/>
          <w:sz w:val="18"/>
          <w:szCs w:val="18"/>
          <w:lang w:val="es-DO"/>
        </w:rPr>
      </w:pPr>
    </w:p>
    <w:p w14:paraId="15C1FE34" w14:textId="52153719" w:rsidR="00E57A65" w:rsidRPr="00232EBB" w:rsidRDefault="00E57A65" w:rsidP="00B0637A">
      <w:pPr>
        <w:spacing w:line="360" w:lineRule="auto"/>
        <w:jc w:val="both"/>
        <w:rPr>
          <w:rFonts w:eastAsia="Calibri"/>
          <w:noProof/>
          <w:lang w:val="es-DO"/>
        </w:rPr>
      </w:pPr>
      <w:r w:rsidRPr="00232EBB">
        <w:rPr>
          <w:rFonts w:eastAsia="Calibri"/>
          <w:b/>
          <w:bCs/>
          <w:noProof/>
          <w:sz w:val="18"/>
          <w:szCs w:val="18"/>
          <w:lang w:val="es-DO"/>
        </w:rPr>
        <w:t xml:space="preserve">Gráfico </w:t>
      </w:r>
      <w:r w:rsidR="000743EE" w:rsidRPr="00232EBB">
        <w:rPr>
          <w:rFonts w:eastAsia="Calibri"/>
          <w:b/>
          <w:bCs/>
          <w:noProof/>
          <w:sz w:val="18"/>
          <w:szCs w:val="18"/>
          <w:lang w:val="es-DO"/>
        </w:rPr>
        <w:t>30</w:t>
      </w:r>
      <w:r w:rsidRPr="00232EBB">
        <w:rPr>
          <w:rFonts w:eastAsia="Calibri"/>
          <w:b/>
          <w:bCs/>
          <w:noProof/>
          <w:sz w:val="18"/>
          <w:szCs w:val="18"/>
          <w:lang w:val="es-DO"/>
        </w:rPr>
        <w:t>:</w:t>
      </w:r>
      <w:r w:rsidRPr="00232EBB">
        <w:rPr>
          <w:rFonts w:eastAsia="Calibri"/>
          <w:noProof/>
          <w:sz w:val="18"/>
          <w:szCs w:val="18"/>
          <w:lang w:val="es-DO"/>
        </w:rPr>
        <w:t xml:space="preserve"> Total Solicitudes respondidas</w:t>
      </w:r>
    </w:p>
    <w:p w14:paraId="0EEC3278" w14:textId="695298D7" w:rsidR="00A83076" w:rsidRPr="00232EBB" w:rsidRDefault="00A8614C" w:rsidP="004E34C4">
      <w:pPr>
        <w:pStyle w:val="Heading1"/>
        <w:spacing w:after="240" w:line="259" w:lineRule="auto"/>
        <w:jc w:val="both"/>
        <w:rPr>
          <w:rFonts w:cs="Times New Roman"/>
          <w:spacing w:val="0"/>
          <w:lang w:val="es-DO"/>
        </w:rPr>
      </w:pPr>
      <w:bookmarkStart w:id="297" w:name="_Toc154736752"/>
      <w:bookmarkStart w:id="298" w:name="_Toc216952274"/>
      <w:bookmarkEnd w:id="296"/>
      <w:r w:rsidRPr="00232EBB">
        <w:rPr>
          <w:rFonts w:cs="Times New Roman"/>
          <w:spacing w:val="0"/>
          <w:lang w:val="es-DO"/>
        </w:rPr>
        <w:t xml:space="preserve">5.4 </w:t>
      </w:r>
      <w:r w:rsidR="00A83076" w:rsidRPr="00232EBB">
        <w:rPr>
          <w:rFonts w:cs="Times New Roman"/>
          <w:spacing w:val="0"/>
          <w:lang w:val="es-DO"/>
        </w:rPr>
        <w:t>Resultados, Mediciones del Portal de Transparencia</w:t>
      </w:r>
      <w:bookmarkEnd w:id="297"/>
      <w:bookmarkEnd w:id="298"/>
    </w:p>
    <w:p w14:paraId="1FE2D709" w14:textId="77777777" w:rsidR="00E77853" w:rsidRPr="00232EBB" w:rsidRDefault="00E77853" w:rsidP="00640D33">
      <w:pPr>
        <w:spacing w:line="360" w:lineRule="auto"/>
        <w:jc w:val="both"/>
        <w:rPr>
          <w:rFonts w:eastAsia="Calibri"/>
          <w:noProof/>
          <w:lang w:val="es-DO"/>
        </w:rPr>
      </w:pPr>
      <w:r w:rsidRPr="00232EBB">
        <w:rPr>
          <w:rFonts w:eastAsia="Calibri"/>
          <w:noProof/>
          <w:lang w:val="es-DO"/>
        </w:rPr>
        <w:t>En cumplimiento a la Ley General de Libre Acceso a la Información Pública No. 200-04 de fecha 28 de julio de 2004, y al Decreto No. 130-05, que aprueba su Reglamento de Aplicación, la Tesorería de la Seguridad Social (TSS) ha puesto a disposición de la ciudadanía los contenidos que, según los artículos 3 y 5 de la referida ley, establecen deben publicarse en las páginas Web de los organismos del Estado.</w:t>
      </w:r>
    </w:p>
    <w:p w14:paraId="5C602532" w14:textId="77777777" w:rsidR="00E77853" w:rsidRPr="00232EBB" w:rsidRDefault="00E77853" w:rsidP="00640D33">
      <w:pPr>
        <w:spacing w:line="360" w:lineRule="auto"/>
        <w:jc w:val="both"/>
        <w:rPr>
          <w:rFonts w:eastAsia="Calibri"/>
          <w:noProof/>
          <w:lang w:val="es-DO"/>
        </w:rPr>
      </w:pPr>
      <w:r w:rsidRPr="00232EBB">
        <w:rPr>
          <w:rFonts w:eastAsia="Calibri"/>
          <w:noProof/>
          <w:lang w:val="es-DO"/>
        </w:rPr>
        <w:lastRenderedPageBreak/>
        <w:t>En consonancia con lo establecido en la Resolución DIGEIG no. 002-2021, hemos coordinado la solicitud y carga de las informaciones publicadas en el Portal, obteniendo en las evaluaciones realizadas por la Dirección de Ética e Integridad Gubernamental (DIGEIG), presentando la calificación siguiente.</w:t>
      </w:r>
    </w:p>
    <w:tbl>
      <w:tblPr>
        <w:tblW w:w="7737" w:type="dxa"/>
        <w:jc w:val="center"/>
        <w:tblLook w:val="04A0" w:firstRow="1" w:lastRow="0" w:firstColumn="1" w:lastColumn="0" w:noHBand="0" w:noVBand="1"/>
      </w:tblPr>
      <w:tblGrid>
        <w:gridCol w:w="3332"/>
        <w:gridCol w:w="4405"/>
      </w:tblGrid>
      <w:tr w:rsidR="00E77853" w:rsidRPr="00232EBB" w14:paraId="6983A05E" w14:textId="77777777" w:rsidTr="00E57A65">
        <w:trPr>
          <w:trHeight w:val="376"/>
          <w:tblHeader/>
          <w:jc w:val="center"/>
        </w:trPr>
        <w:tc>
          <w:tcPr>
            <w:tcW w:w="3332" w:type="dxa"/>
            <w:tcBorders>
              <w:top w:val="single" w:sz="4" w:space="0" w:color="auto"/>
              <w:left w:val="single" w:sz="4" w:space="0" w:color="auto"/>
              <w:bottom w:val="single" w:sz="4" w:space="0" w:color="auto"/>
              <w:right w:val="single" w:sz="4" w:space="0" w:color="auto"/>
            </w:tcBorders>
            <w:shd w:val="clear" w:color="000000" w:fill="002060"/>
            <w:vAlign w:val="center"/>
            <w:hideMark/>
          </w:tcPr>
          <w:p w14:paraId="7F04789C" w14:textId="57FDAF57" w:rsidR="00E77853" w:rsidRPr="00232EBB" w:rsidRDefault="00E77853" w:rsidP="00E77853">
            <w:pPr>
              <w:spacing w:after="0" w:line="240" w:lineRule="auto"/>
              <w:jc w:val="center"/>
              <w:rPr>
                <w:rFonts w:eastAsia="Times New Roman"/>
                <w:b/>
                <w:bCs/>
                <w:color w:val="FFFFFF"/>
                <w:spacing w:val="0"/>
              </w:rPr>
            </w:pPr>
            <w:r w:rsidRPr="00232EBB">
              <w:rPr>
                <w:rFonts w:eastAsia="Calibri"/>
                <w:b/>
                <w:bCs/>
                <w:noProof/>
                <w:color w:val="FFFFFF"/>
                <w:spacing w:val="0"/>
                <w:lang w:val="es-DO"/>
              </w:rPr>
              <w:t xml:space="preserve">Meses </w:t>
            </w:r>
          </w:p>
        </w:tc>
        <w:tc>
          <w:tcPr>
            <w:tcW w:w="4405" w:type="dxa"/>
            <w:tcBorders>
              <w:top w:val="single" w:sz="4" w:space="0" w:color="auto"/>
              <w:left w:val="nil"/>
              <w:bottom w:val="single" w:sz="4" w:space="0" w:color="auto"/>
              <w:right w:val="single" w:sz="4" w:space="0" w:color="auto"/>
            </w:tcBorders>
            <w:shd w:val="clear" w:color="000000" w:fill="002060"/>
            <w:vAlign w:val="center"/>
            <w:hideMark/>
          </w:tcPr>
          <w:p w14:paraId="6993E34B" w14:textId="77777777" w:rsidR="00E77853" w:rsidRPr="00232EBB" w:rsidRDefault="00E77853" w:rsidP="00E77853">
            <w:pPr>
              <w:spacing w:after="0" w:line="240" w:lineRule="auto"/>
              <w:jc w:val="center"/>
              <w:rPr>
                <w:rFonts w:eastAsia="Times New Roman"/>
                <w:b/>
                <w:bCs/>
                <w:color w:val="FFFFFF"/>
                <w:spacing w:val="0"/>
              </w:rPr>
            </w:pPr>
            <w:r w:rsidRPr="00232EBB">
              <w:rPr>
                <w:rFonts w:eastAsia="Calibri"/>
                <w:b/>
                <w:bCs/>
                <w:noProof/>
                <w:color w:val="FFFFFF"/>
                <w:spacing w:val="0"/>
                <w:lang w:val="es-DO"/>
              </w:rPr>
              <w:t xml:space="preserve">Calificación </w:t>
            </w:r>
          </w:p>
        </w:tc>
      </w:tr>
      <w:tr w:rsidR="00E77853" w:rsidRPr="00232EBB" w14:paraId="759EA394" w14:textId="77777777" w:rsidTr="00E57A65">
        <w:trPr>
          <w:trHeight w:val="394"/>
          <w:jc w:val="center"/>
        </w:trPr>
        <w:tc>
          <w:tcPr>
            <w:tcW w:w="3332" w:type="dxa"/>
            <w:tcBorders>
              <w:top w:val="nil"/>
              <w:left w:val="single" w:sz="8" w:space="0" w:color="auto"/>
              <w:bottom w:val="single" w:sz="8" w:space="0" w:color="auto"/>
              <w:right w:val="single" w:sz="8" w:space="0" w:color="auto"/>
            </w:tcBorders>
            <w:noWrap/>
            <w:vAlign w:val="center"/>
            <w:hideMark/>
          </w:tcPr>
          <w:p w14:paraId="79AC141B" w14:textId="77777777" w:rsidR="00E77853" w:rsidRPr="00232EBB" w:rsidRDefault="00E77853" w:rsidP="00E77853">
            <w:pPr>
              <w:spacing w:after="0" w:line="240" w:lineRule="auto"/>
              <w:jc w:val="center"/>
              <w:rPr>
                <w:rFonts w:eastAsia="Times New Roman"/>
                <w:spacing w:val="0"/>
              </w:rPr>
            </w:pPr>
            <w:r w:rsidRPr="00232EBB">
              <w:rPr>
                <w:rFonts w:eastAsia="Calibri"/>
                <w:noProof/>
                <w:spacing w:val="0"/>
                <w:lang w:val="es-DO"/>
              </w:rPr>
              <w:t>Enero</w:t>
            </w:r>
          </w:p>
        </w:tc>
        <w:tc>
          <w:tcPr>
            <w:tcW w:w="4405" w:type="dxa"/>
            <w:tcBorders>
              <w:top w:val="nil"/>
              <w:left w:val="nil"/>
              <w:bottom w:val="single" w:sz="8" w:space="0" w:color="auto"/>
              <w:right w:val="single" w:sz="8" w:space="0" w:color="auto"/>
            </w:tcBorders>
            <w:noWrap/>
            <w:vAlign w:val="center"/>
          </w:tcPr>
          <w:p w14:paraId="598C4778" w14:textId="4DC0A36D" w:rsidR="00E77853" w:rsidRPr="00232EBB" w:rsidRDefault="00E57A65" w:rsidP="00E77853">
            <w:pPr>
              <w:spacing w:after="0" w:line="240" w:lineRule="auto"/>
              <w:jc w:val="center"/>
              <w:rPr>
                <w:rFonts w:eastAsia="Times New Roman"/>
                <w:spacing w:val="0"/>
              </w:rPr>
            </w:pPr>
            <w:r w:rsidRPr="00232EBB">
              <w:rPr>
                <w:rFonts w:eastAsia="Times New Roman"/>
                <w:spacing w:val="0"/>
              </w:rPr>
              <w:t>99.29</w:t>
            </w:r>
          </w:p>
        </w:tc>
      </w:tr>
      <w:tr w:rsidR="00E77853" w:rsidRPr="00232EBB" w14:paraId="099F3E4A" w14:textId="77777777" w:rsidTr="00E57A65">
        <w:trPr>
          <w:trHeight w:val="394"/>
          <w:jc w:val="center"/>
        </w:trPr>
        <w:tc>
          <w:tcPr>
            <w:tcW w:w="3332" w:type="dxa"/>
            <w:tcBorders>
              <w:top w:val="nil"/>
              <w:left w:val="single" w:sz="8" w:space="0" w:color="auto"/>
              <w:bottom w:val="single" w:sz="8" w:space="0" w:color="auto"/>
              <w:right w:val="single" w:sz="8" w:space="0" w:color="auto"/>
            </w:tcBorders>
            <w:noWrap/>
            <w:vAlign w:val="center"/>
            <w:hideMark/>
          </w:tcPr>
          <w:p w14:paraId="61F64E90" w14:textId="77777777" w:rsidR="00E77853" w:rsidRPr="00232EBB" w:rsidRDefault="00E77853" w:rsidP="00E77853">
            <w:pPr>
              <w:spacing w:after="0" w:line="240" w:lineRule="auto"/>
              <w:jc w:val="center"/>
              <w:rPr>
                <w:rFonts w:eastAsia="Times New Roman"/>
                <w:spacing w:val="0"/>
              </w:rPr>
            </w:pPr>
            <w:r w:rsidRPr="00232EBB">
              <w:rPr>
                <w:rFonts w:eastAsia="Calibri"/>
                <w:noProof/>
                <w:spacing w:val="0"/>
                <w:lang w:val="es-DO"/>
              </w:rPr>
              <w:t>Febrero</w:t>
            </w:r>
          </w:p>
        </w:tc>
        <w:tc>
          <w:tcPr>
            <w:tcW w:w="4405" w:type="dxa"/>
            <w:tcBorders>
              <w:top w:val="nil"/>
              <w:left w:val="nil"/>
              <w:bottom w:val="single" w:sz="8" w:space="0" w:color="auto"/>
              <w:right w:val="single" w:sz="8" w:space="0" w:color="auto"/>
            </w:tcBorders>
            <w:noWrap/>
            <w:vAlign w:val="center"/>
          </w:tcPr>
          <w:p w14:paraId="4130D66F" w14:textId="5B593164" w:rsidR="00E77853" w:rsidRPr="00232EBB" w:rsidRDefault="00E57A65" w:rsidP="00E77853">
            <w:pPr>
              <w:spacing w:after="0" w:line="240" w:lineRule="auto"/>
              <w:jc w:val="center"/>
              <w:rPr>
                <w:rFonts w:eastAsia="Times New Roman"/>
                <w:spacing w:val="0"/>
              </w:rPr>
            </w:pPr>
            <w:r w:rsidRPr="00232EBB">
              <w:rPr>
                <w:rFonts w:eastAsia="Times New Roman"/>
                <w:spacing w:val="0"/>
              </w:rPr>
              <w:t>98.85</w:t>
            </w:r>
          </w:p>
        </w:tc>
      </w:tr>
      <w:tr w:rsidR="00E77853" w:rsidRPr="00232EBB" w14:paraId="09BD6994" w14:textId="77777777" w:rsidTr="00E57A65">
        <w:trPr>
          <w:trHeight w:val="394"/>
          <w:jc w:val="center"/>
        </w:trPr>
        <w:tc>
          <w:tcPr>
            <w:tcW w:w="3332" w:type="dxa"/>
            <w:tcBorders>
              <w:top w:val="nil"/>
              <w:left w:val="single" w:sz="8" w:space="0" w:color="auto"/>
              <w:bottom w:val="single" w:sz="8" w:space="0" w:color="auto"/>
              <w:right w:val="single" w:sz="8" w:space="0" w:color="auto"/>
            </w:tcBorders>
            <w:noWrap/>
            <w:vAlign w:val="center"/>
            <w:hideMark/>
          </w:tcPr>
          <w:p w14:paraId="3D2547D1" w14:textId="77777777" w:rsidR="00E77853" w:rsidRPr="00232EBB" w:rsidRDefault="00E77853" w:rsidP="00E77853">
            <w:pPr>
              <w:spacing w:after="0" w:line="240" w:lineRule="auto"/>
              <w:jc w:val="center"/>
              <w:rPr>
                <w:rFonts w:eastAsia="Times New Roman"/>
                <w:spacing w:val="0"/>
              </w:rPr>
            </w:pPr>
            <w:r w:rsidRPr="00232EBB">
              <w:rPr>
                <w:rFonts w:eastAsia="Calibri"/>
                <w:noProof/>
                <w:spacing w:val="0"/>
                <w:lang w:val="es-DO"/>
              </w:rPr>
              <w:t>Marzo</w:t>
            </w:r>
          </w:p>
        </w:tc>
        <w:tc>
          <w:tcPr>
            <w:tcW w:w="4405" w:type="dxa"/>
            <w:tcBorders>
              <w:top w:val="nil"/>
              <w:left w:val="nil"/>
              <w:bottom w:val="single" w:sz="8" w:space="0" w:color="auto"/>
              <w:right w:val="single" w:sz="8" w:space="0" w:color="auto"/>
            </w:tcBorders>
            <w:noWrap/>
            <w:vAlign w:val="center"/>
          </w:tcPr>
          <w:p w14:paraId="5A40F9D6" w14:textId="00443C7D" w:rsidR="00E77853" w:rsidRPr="00232EBB" w:rsidRDefault="00E57A65" w:rsidP="00E77853">
            <w:pPr>
              <w:spacing w:after="0" w:line="240" w:lineRule="auto"/>
              <w:jc w:val="center"/>
              <w:rPr>
                <w:rFonts w:eastAsia="Times New Roman"/>
                <w:spacing w:val="0"/>
              </w:rPr>
            </w:pPr>
            <w:r w:rsidRPr="00232EBB">
              <w:rPr>
                <w:rFonts w:eastAsia="Times New Roman"/>
                <w:spacing w:val="0"/>
              </w:rPr>
              <w:t>96.87</w:t>
            </w:r>
          </w:p>
        </w:tc>
      </w:tr>
      <w:tr w:rsidR="00E77853" w:rsidRPr="00232EBB" w14:paraId="1CE91ED8" w14:textId="77777777" w:rsidTr="00E57A65">
        <w:trPr>
          <w:trHeight w:val="394"/>
          <w:jc w:val="center"/>
        </w:trPr>
        <w:tc>
          <w:tcPr>
            <w:tcW w:w="3332" w:type="dxa"/>
            <w:tcBorders>
              <w:top w:val="nil"/>
              <w:left w:val="single" w:sz="8" w:space="0" w:color="auto"/>
              <w:bottom w:val="single" w:sz="8" w:space="0" w:color="auto"/>
              <w:right w:val="single" w:sz="8" w:space="0" w:color="auto"/>
            </w:tcBorders>
            <w:noWrap/>
            <w:vAlign w:val="center"/>
            <w:hideMark/>
          </w:tcPr>
          <w:p w14:paraId="4287F648" w14:textId="77777777" w:rsidR="00E77853" w:rsidRPr="00232EBB" w:rsidRDefault="00E77853" w:rsidP="00E77853">
            <w:pPr>
              <w:spacing w:after="0" w:line="240" w:lineRule="auto"/>
              <w:jc w:val="center"/>
              <w:rPr>
                <w:rFonts w:eastAsia="Times New Roman"/>
                <w:spacing w:val="0"/>
              </w:rPr>
            </w:pPr>
            <w:r w:rsidRPr="00232EBB">
              <w:rPr>
                <w:rFonts w:eastAsia="Calibri"/>
                <w:noProof/>
                <w:spacing w:val="0"/>
                <w:lang w:val="es-DO"/>
              </w:rPr>
              <w:t>Abril</w:t>
            </w:r>
          </w:p>
        </w:tc>
        <w:tc>
          <w:tcPr>
            <w:tcW w:w="4405" w:type="dxa"/>
            <w:tcBorders>
              <w:top w:val="nil"/>
              <w:left w:val="nil"/>
              <w:bottom w:val="single" w:sz="8" w:space="0" w:color="auto"/>
              <w:right w:val="single" w:sz="8" w:space="0" w:color="auto"/>
            </w:tcBorders>
            <w:noWrap/>
            <w:vAlign w:val="center"/>
          </w:tcPr>
          <w:p w14:paraId="750005BD" w14:textId="6CB85E76" w:rsidR="00E77853" w:rsidRPr="00232EBB" w:rsidRDefault="00E57A65" w:rsidP="00E77853">
            <w:pPr>
              <w:spacing w:after="0" w:line="240" w:lineRule="auto"/>
              <w:jc w:val="center"/>
              <w:rPr>
                <w:rFonts w:eastAsia="Times New Roman"/>
                <w:spacing w:val="0"/>
              </w:rPr>
            </w:pPr>
            <w:r w:rsidRPr="00232EBB">
              <w:rPr>
                <w:rFonts w:eastAsia="Times New Roman"/>
                <w:spacing w:val="0"/>
              </w:rPr>
              <w:t>96.47</w:t>
            </w:r>
          </w:p>
        </w:tc>
      </w:tr>
      <w:tr w:rsidR="00E77853" w:rsidRPr="00232EBB" w14:paraId="18ED9955" w14:textId="77777777" w:rsidTr="00E57A65">
        <w:trPr>
          <w:trHeight w:val="394"/>
          <w:jc w:val="center"/>
        </w:trPr>
        <w:tc>
          <w:tcPr>
            <w:tcW w:w="3332" w:type="dxa"/>
            <w:tcBorders>
              <w:top w:val="nil"/>
              <w:left w:val="single" w:sz="8" w:space="0" w:color="auto"/>
              <w:bottom w:val="single" w:sz="8" w:space="0" w:color="auto"/>
              <w:right w:val="single" w:sz="8" w:space="0" w:color="auto"/>
            </w:tcBorders>
            <w:noWrap/>
            <w:vAlign w:val="center"/>
            <w:hideMark/>
          </w:tcPr>
          <w:p w14:paraId="36510F9F" w14:textId="77777777" w:rsidR="00E77853" w:rsidRPr="00232EBB" w:rsidRDefault="00E77853" w:rsidP="00E77853">
            <w:pPr>
              <w:spacing w:after="0" w:line="240" w:lineRule="auto"/>
              <w:jc w:val="center"/>
              <w:rPr>
                <w:rFonts w:eastAsia="Times New Roman"/>
                <w:spacing w:val="0"/>
              </w:rPr>
            </w:pPr>
            <w:r w:rsidRPr="00232EBB">
              <w:rPr>
                <w:rFonts w:eastAsia="Calibri"/>
                <w:noProof/>
                <w:spacing w:val="0"/>
                <w:lang w:val="es-DO"/>
              </w:rPr>
              <w:t>Mayo</w:t>
            </w:r>
          </w:p>
        </w:tc>
        <w:tc>
          <w:tcPr>
            <w:tcW w:w="4405" w:type="dxa"/>
            <w:tcBorders>
              <w:top w:val="nil"/>
              <w:left w:val="nil"/>
              <w:bottom w:val="single" w:sz="8" w:space="0" w:color="auto"/>
              <w:right w:val="single" w:sz="8" w:space="0" w:color="auto"/>
            </w:tcBorders>
            <w:vAlign w:val="center"/>
          </w:tcPr>
          <w:p w14:paraId="5ED127B8" w14:textId="3B698938" w:rsidR="00E77853" w:rsidRPr="00232EBB" w:rsidRDefault="00E57A65" w:rsidP="00E77853">
            <w:pPr>
              <w:spacing w:after="0" w:line="240" w:lineRule="auto"/>
              <w:jc w:val="center"/>
              <w:rPr>
                <w:rFonts w:eastAsia="Times New Roman"/>
                <w:spacing w:val="0"/>
              </w:rPr>
            </w:pPr>
            <w:r w:rsidRPr="00232EBB">
              <w:rPr>
                <w:rFonts w:eastAsia="Times New Roman"/>
                <w:spacing w:val="0"/>
              </w:rPr>
              <w:t>98.9</w:t>
            </w:r>
          </w:p>
        </w:tc>
      </w:tr>
      <w:tr w:rsidR="00E77853" w:rsidRPr="00232EBB" w14:paraId="731DCE8D" w14:textId="77777777" w:rsidTr="00E57A65">
        <w:trPr>
          <w:trHeight w:val="394"/>
          <w:jc w:val="center"/>
        </w:trPr>
        <w:tc>
          <w:tcPr>
            <w:tcW w:w="3332" w:type="dxa"/>
            <w:tcBorders>
              <w:top w:val="nil"/>
              <w:left w:val="single" w:sz="8" w:space="0" w:color="auto"/>
              <w:bottom w:val="single" w:sz="8" w:space="0" w:color="auto"/>
              <w:right w:val="single" w:sz="8" w:space="0" w:color="auto"/>
            </w:tcBorders>
            <w:noWrap/>
            <w:vAlign w:val="center"/>
            <w:hideMark/>
          </w:tcPr>
          <w:p w14:paraId="6E202366" w14:textId="77777777" w:rsidR="00E77853" w:rsidRPr="00232EBB" w:rsidRDefault="00E77853" w:rsidP="00E77853">
            <w:pPr>
              <w:spacing w:after="0" w:line="240" w:lineRule="auto"/>
              <w:jc w:val="center"/>
              <w:rPr>
                <w:rFonts w:eastAsia="Times New Roman"/>
                <w:spacing w:val="0"/>
              </w:rPr>
            </w:pPr>
            <w:r w:rsidRPr="00232EBB">
              <w:rPr>
                <w:rFonts w:eastAsia="Calibri"/>
                <w:noProof/>
                <w:spacing w:val="0"/>
                <w:lang w:val="es-DO"/>
              </w:rPr>
              <w:t>Junio</w:t>
            </w:r>
          </w:p>
        </w:tc>
        <w:tc>
          <w:tcPr>
            <w:tcW w:w="4405" w:type="dxa"/>
            <w:tcBorders>
              <w:top w:val="nil"/>
              <w:left w:val="nil"/>
              <w:bottom w:val="single" w:sz="8" w:space="0" w:color="auto"/>
              <w:right w:val="single" w:sz="8" w:space="0" w:color="auto"/>
            </w:tcBorders>
            <w:vAlign w:val="center"/>
          </w:tcPr>
          <w:p w14:paraId="61FAF1DE" w14:textId="32D33B41" w:rsidR="00E77853" w:rsidRPr="00232EBB" w:rsidRDefault="00E57A65" w:rsidP="00E77853">
            <w:pPr>
              <w:spacing w:after="0" w:line="240" w:lineRule="auto"/>
              <w:jc w:val="center"/>
              <w:rPr>
                <w:rFonts w:eastAsia="Times New Roman"/>
                <w:spacing w:val="0"/>
              </w:rPr>
            </w:pPr>
            <w:r w:rsidRPr="00232EBB">
              <w:rPr>
                <w:rFonts w:eastAsia="Times New Roman"/>
                <w:spacing w:val="0"/>
              </w:rPr>
              <w:t>97.63</w:t>
            </w:r>
          </w:p>
        </w:tc>
      </w:tr>
      <w:tr w:rsidR="00E77853" w:rsidRPr="00232EBB" w14:paraId="7F4A9BAD" w14:textId="77777777" w:rsidTr="00E57A65">
        <w:trPr>
          <w:trHeight w:val="394"/>
          <w:jc w:val="center"/>
        </w:trPr>
        <w:tc>
          <w:tcPr>
            <w:tcW w:w="3332" w:type="dxa"/>
            <w:tcBorders>
              <w:top w:val="nil"/>
              <w:left w:val="single" w:sz="8" w:space="0" w:color="auto"/>
              <w:bottom w:val="single" w:sz="8" w:space="0" w:color="auto"/>
              <w:right w:val="single" w:sz="8" w:space="0" w:color="auto"/>
            </w:tcBorders>
            <w:noWrap/>
            <w:vAlign w:val="center"/>
            <w:hideMark/>
          </w:tcPr>
          <w:p w14:paraId="5989EF8E" w14:textId="77777777" w:rsidR="00E77853" w:rsidRPr="00232EBB" w:rsidRDefault="00E77853" w:rsidP="00E77853">
            <w:pPr>
              <w:spacing w:after="0" w:line="240" w:lineRule="auto"/>
              <w:jc w:val="center"/>
              <w:rPr>
                <w:rFonts w:eastAsia="Times New Roman"/>
                <w:spacing w:val="0"/>
              </w:rPr>
            </w:pPr>
            <w:r w:rsidRPr="00232EBB">
              <w:rPr>
                <w:rFonts w:eastAsia="Calibri"/>
                <w:noProof/>
                <w:spacing w:val="0"/>
                <w:lang w:val="es-DO"/>
              </w:rPr>
              <w:t>Julio</w:t>
            </w:r>
          </w:p>
        </w:tc>
        <w:tc>
          <w:tcPr>
            <w:tcW w:w="4405" w:type="dxa"/>
            <w:tcBorders>
              <w:top w:val="nil"/>
              <w:left w:val="nil"/>
              <w:bottom w:val="single" w:sz="8" w:space="0" w:color="auto"/>
              <w:right w:val="single" w:sz="8" w:space="0" w:color="auto"/>
            </w:tcBorders>
            <w:vAlign w:val="center"/>
          </w:tcPr>
          <w:p w14:paraId="1BB81000" w14:textId="290DD52C" w:rsidR="00E77853" w:rsidRPr="00232EBB" w:rsidRDefault="00E57A65" w:rsidP="00E77853">
            <w:pPr>
              <w:spacing w:after="0" w:line="240" w:lineRule="auto"/>
              <w:jc w:val="center"/>
              <w:rPr>
                <w:rFonts w:eastAsia="Times New Roman"/>
                <w:spacing w:val="0"/>
              </w:rPr>
            </w:pPr>
            <w:r w:rsidRPr="00232EBB">
              <w:rPr>
                <w:rFonts w:eastAsia="Times New Roman"/>
                <w:spacing w:val="0"/>
              </w:rPr>
              <w:t>98.12</w:t>
            </w:r>
          </w:p>
        </w:tc>
      </w:tr>
      <w:tr w:rsidR="00E77853" w:rsidRPr="00232EBB" w14:paraId="48332E6C" w14:textId="77777777" w:rsidTr="00E57A65">
        <w:trPr>
          <w:trHeight w:val="394"/>
          <w:jc w:val="center"/>
        </w:trPr>
        <w:tc>
          <w:tcPr>
            <w:tcW w:w="3332" w:type="dxa"/>
            <w:tcBorders>
              <w:top w:val="nil"/>
              <w:left w:val="single" w:sz="8" w:space="0" w:color="auto"/>
              <w:bottom w:val="single" w:sz="8" w:space="0" w:color="auto"/>
              <w:right w:val="single" w:sz="8" w:space="0" w:color="auto"/>
            </w:tcBorders>
            <w:noWrap/>
            <w:vAlign w:val="center"/>
            <w:hideMark/>
          </w:tcPr>
          <w:p w14:paraId="6C432738" w14:textId="77777777" w:rsidR="00E77853" w:rsidRPr="00232EBB" w:rsidRDefault="00E77853" w:rsidP="00E77853">
            <w:pPr>
              <w:spacing w:after="0" w:line="240" w:lineRule="auto"/>
              <w:jc w:val="center"/>
              <w:rPr>
                <w:rFonts w:eastAsia="Times New Roman"/>
                <w:spacing w:val="0"/>
              </w:rPr>
            </w:pPr>
            <w:r w:rsidRPr="00232EBB">
              <w:rPr>
                <w:rFonts w:eastAsia="Calibri"/>
                <w:noProof/>
                <w:spacing w:val="0"/>
                <w:lang w:val="es-DO"/>
              </w:rPr>
              <w:t>Agosto</w:t>
            </w:r>
          </w:p>
        </w:tc>
        <w:tc>
          <w:tcPr>
            <w:tcW w:w="4405" w:type="dxa"/>
            <w:tcBorders>
              <w:top w:val="nil"/>
              <w:left w:val="nil"/>
              <w:bottom w:val="single" w:sz="8" w:space="0" w:color="auto"/>
              <w:right w:val="single" w:sz="8" w:space="0" w:color="auto"/>
            </w:tcBorders>
            <w:vAlign w:val="center"/>
          </w:tcPr>
          <w:p w14:paraId="6744746C" w14:textId="2BF1F040" w:rsidR="00E77853" w:rsidRPr="00232EBB" w:rsidRDefault="00E57A65" w:rsidP="00E77853">
            <w:pPr>
              <w:spacing w:after="0" w:line="240" w:lineRule="auto"/>
              <w:jc w:val="center"/>
              <w:rPr>
                <w:rFonts w:eastAsia="Times New Roman"/>
                <w:spacing w:val="0"/>
              </w:rPr>
            </w:pPr>
            <w:r w:rsidRPr="00232EBB">
              <w:rPr>
                <w:rFonts w:eastAsia="Times New Roman"/>
                <w:spacing w:val="0"/>
              </w:rPr>
              <w:t>97.35</w:t>
            </w:r>
          </w:p>
        </w:tc>
      </w:tr>
      <w:tr w:rsidR="00E77853" w:rsidRPr="00232EBB" w14:paraId="006A98B3" w14:textId="77777777" w:rsidTr="00E57A65">
        <w:trPr>
          <w:trHeight w:val="394"/>
          <w:jc w:val="center"/>
        </w:trPr>
        <w:tc>
          <w:tcPr>
            <w:tcW w:w="3332" w:type="dxa"/>
            <w:tcBorders>
              <w:top w:val="nil"/>
              <w:left w:val="single" w:sz="8" w:space="0" w:color="auto"/>
              <w:bottom w:val="single" w:sz="8" w:space="0" w:color="auto"/>
              <w:right w:val="single" w:sz="8" w:space="0" w:color="auto"/>
            </w:tcBorders>
            <w:noWrap/>
            <w:vAlign w:val="center"/>
            <w:hideMark/>
          </w:tcPr>
          <w:p w14:paraId="6E88C13E" w14:textId="77777777" w:rsidR="00E77853" w:rsidRPr="00232EBB" w:rsidRDefault="00E77853" w:rsidP="00E77853">
            <w:pPr>
              <w:spacing w:after="0" w:line="240" w:lineRule="auto"/>
              <w:jc w:val="center"/>
              <w:rPr>
                <w:rFonts w:eastAsia="Times New Roman"/>
                <w:spacing w:val="0"/>
              </w:rPr>
            </w:pPr>
            <w:r w:rsidRPr="00232EBB">
              <w:rPr>
                <w:rFonts w:eastAsia="Calibri"/>
                <w:noProof/>
                <w:spacing w:val="0"/>
                <w:lang w:val="es-DO"/>
              </w:rPr>
              <w:t>Septiembre</w:t>
            </w:r>
          </w:p>
        </w:tc>
        <w:tc>
          <w:tcPr>
            <w:tcW w:w="4405" w:type="dxa"/>
            <w:tcBorders>
              <w:top w:val="nil"/>
              <w:left w:val="nil"/>
              <w:bottom w:val="single" w:sz="8" w:space="0" w:color="auto"/>
              <w:right w:val="single" w:sz="8" w:space="0" w:color="auto"/>
            </w:tcBorders>
            <w:vAlign w:val="center"/>
          </w:tcPr>
          <w:p w14:paraId="0F6A69D4" w14:textId="547180A5" w:rsidR="00E77853" w:rsidRPr="00232EBB" w:rsidRDefault="00E57A65" w:rsidP="00E77853">
            <w:pPr>
              <w:spacing w:after="0" w:line="240" w:lineRule="auto"/>
              <w:jc w:val="center"/>
              <w:rPr>
                <w:rFonts w:eastAsia="Times New Roman"/>
                <w:spacing w:val="0"/>
              </w:rPr>
            </w:pPr>
            <w:r w:rsidRPr="00232EBB">
              <w:rPr>
                <w:rFonts w:eastAsia="Times New Roman"/>
                <w:spacing w:val="0"/>
              </w:rPr>
              <w:t>97.74</w:t>
            </w:r>
          </w:p>
        </w:tc>
      </w:tr>
      <w:tr w:rsidR="00E77853" w:rsidRPr="00232EBB" w14:paraId="0712BD97" w14:textId="77777777" w:rsidTr="00E57A65">
        <w:trPr>
          <w:trHeight w:val="460"/>
          <w:jc w:val="center"/>
        </w:trPr>
        <w:tc>
          <w:tcPr>
            <w:tcW w:w="3332" w:type="dxa"/>
            <w:tcBorders>
              <w:top w:val="nil"/>
              <w:left w:val="single" w:sz="8" w:space="0" w:color="auto"/>
              <w:bottom w:val="single" w:sz="8" w:space="0" w:color="auto"/>
              <w:right w:val="single" w:sz="8" w:space="0" w:color="auto"/>
            </w:tcBorders>
            <w:noWrap/>
            <w:vAlign w:val="center"/>
            <w:hideMark/>
          </w:tcPr>
          <w:p w14:paraId="1470C4BA" w14:textId="77777777" w:rsidR="00E77853" w:rsidRPr="00232EBB" w:rsidRDefault="00E77853" w:rsidP="00E77853">
            <w:pPr>
              <w:spacing w:after="0" w:line="240" w:lineRule="auto"/>
              <w:jc w:val="center"/>
              <w:rPr>
                <w:rFonts w:eastAsia="Times New Roman"/>
                <w:spacing w:val="0"/>
              </w:rPr>
            </w:pPr>
            <w:r w:rsidRPr="00232EBB">
              <w:rPr>
                <w:rFonts w:eastAsia="Calibri"/>
                <w:noProof/>
                <w:spacing w:val="0"/>
                <w:lang w:val="es-DO"/>
              </w:rPr>
              <w:t>Octubre</w:t>
            </w:r>
          </w:p>
        </w:tc>
        <w:tc>
          <w:tcPr>
            <w:tcW w:w="4405" w:type="dxa"/>
            <w:tcBorders>
              <w:top w:val="nil"/>
              <w:left w:val="nil"/>
              <w:bottom w:val="single" w:sz="8" w:space="0" w:color="auto"/>
              <w:right w:val="single" w:sz="8" w:space="0" w:color="auto"/>
            </w:tcBorders>
            <w:vAlign w:val="center"/>
          </w:tcPr>
          <w:p w14:paraId="4537C1CD" w14:textId="118E6A1E" w:rsidR="00E77853" w:rsidRPr="00232EBB" w:rsidRDefault="00830CF3" w:rsidP="00E77853">
            <w:pPr>
              <w:spacing w:after="0" w:line="240" w:lineRule="auto"/>
              <w:jc w:val="center"/>
              <w:rPr>
                <w:rFonts w:eastAsia="Times New Roman"/>
                <w:spacing w:val="0"/>
                <w:lang w:val="es-ES"/>
              </w:rPr>
            </w:pPr>
            <w:r w:rsidRPr="00232EBB">
              <w:rPr>
                <w:rFonts w:eastAsia="Calibri"/>
                <w:noProof/>
                <w:spacing w:val="0"/>
                <w:lang w:val="es-DO"/>
              </w:rPr>
              <w:t>100</w:t>
            </w:r>
          </w:p>
        </w:tc>
      </w:tr>
      <w:tr w:rsidR="00E77853" w:rsidRPr="004622C5" w14:paraId="4E97A1EB" w14:textId="77777777" w:rsidTr="00E57A65">
        <w:trPr>
          <w:trHeight w:val="297"/>
          <w:jc w:val="center"/>
        </w:trPr>
        <w:tc>
          <w:tcPr>
            <w:tcW w:w="3332" w:type="dxa"/>
            <w:tcBorders>
              <w:top w:val="nil"/>
              <w:left w:val="single" w:sz="8" w:space="0" w:color="auto"/>
              <w:bottom w:val="single" w:sz="4" w:space="0" w:color="auto"/>
              <w:right w:val="single" w:sz="8" w:space="0" w:color="auto"/>
            </w:tcBorders>
            <w:noWrap/>
            <w:vAlign w:val="center"/>
            <w:hideMark/>
          </w:tcPr>
          <w:p w14:paraId="74FFF90F" w14:textId="77777777" w:rsidR="00E77853" w:rsidRPr="00232EBB" w:rsidRDefault="00E77853" w:rsidP="00E77853">
            <w:pPr>
              <w:spacing w:after="0" w:line="240" w:lineRule="auto"/>
              <w:jc w:val="center"/>
              <w:rPr>
                <w:rFonts w:eastAsia="Calibri"/>
                <w:noProof/>
                <w:spacing w:val="0"/>
                <w:lang w:val="es-DO"/>
              </w:rPr>
            </w:pPr>
            <w:r w:rsidRPr="00232EBB">
              <w:rPr>
                <w:rFonts w:eastAsia="Calibri"/>
                <w:noProof/>
                <w:spacing w:val="0"/>
                <w:lang w:val="es-DO"/>
              </w:rPr>
              <w:t>Noviembre</w:t>
            </w:r>
          </w:p>
        </w:tc>
        <w:tc>
          <w:tcPr>
            <w:tcW w:w="4405" w:type="dxa"/>
            <w:tcBorders>
              <w:top w:val="nil"/>
              <w:left w:val="nil"/>
              <w:bottom w:val="single" w:sz="4" w:space="0" w:color="auto"/>
              <w:right w:val="single" w:sz="8" w:space="0" w:color="auto"/>
            </w:tcBorders>
            <w:vAlign w:val="center"/>
            <w:hideMark/>
          </w:tcPr>
          <w:p w14:paraId="1B029EED" w14:textId="3D50C891" w:rsidR="00E77853" w:rsidRPr="00232EBB" w:rsidRDefault="00E77853" w:rsidP="00E77853">
            <w:pPr>
              <w:spacing w:after="0" w:line="240" w:lineRule="auto"/>
              <w:jc w:val="center"/>
              <w:rPr>
                <w:rFonts w:eastAsia="Times New Roman"/>
                <w:spacing w:val="0"/>
                <w:lang w:val="es-ES"/>
              </w:rPr>
            </w:pPr>
            <w:r w:rsidRPr="00232EBB">
              <w:rPr>
                <w:rFonts w:eastAsia="Calibri"/>
                <w:noProof/>
                <w:spacing w:val="0"/>
                <w:lang w:val="es-DO"/>
              </w:rPr>
              <w:t>Pendiente de calificar por la DIGE</w:t>
            </w:r>
            <w:r w:rsidR="00E327EE" w:rsidRPr="00232EBB">
              <w:rPr>
                <w:rFonts w:eastAsia="Calibri"/>
                <w:noProof/>
                <w:spacing w:val="0"/>
                <w:lang w:val="es-DO"/>
              </w:rPr>
              <w:t>I</w:t>
            </w:r>
            <w:r w:rsidRPr="00232EBB">
              <w:rPr>
                <w:rFonts w:eastAsia="Calibri"/>
                <w:noProof/>
                <w:spacing w:val="0"/>
                <w:lang w:val="es-DO"/>
              </w:rPr>
              <w:t>G</w:t>
            </w:r>
          </w:p>
        </w:tc>
      </w:tr>
      <w:tr w:rsidR="00F973CE" w:rsidRPr="004622C5" w14:paraId="2F032593" w14:textId="77777777" w:rsidTr="00E57A65">
        <w:trPr>
          <w:trHeight w:val="297"/>
          <w:jc w:val="center"/>
        </w:trPr>
        <w:tc>
          <w:tcPr>
            <w:tcW w:w="3332" w:type="dxa"/>
            <w:tcBorders>
              <w:top w:val="single" w:sz="4" w:space="0" w:color="auto"/>
              <w:left w:val="single" w:sz="4" w:space="0" w:color="auto"/>
              <w:bottom w:val="single" w:sz="4" w:space="0" w:color="auto"/>
              <w:right w:val="single" w:sz="4" w:space="0" w:color="auto"/>
            </w:tcBorders>
            <w:noWrap/>
            <w:vAlign w:val="center"/>
          </w:tcPr>
          <w:p w14:paraId="3AEBB387" w14:textId="2B4EE447" w:rsidR="00F973CE" w:rsidRPr="00232EBB" w:rsidRDefault="00F973CE" w:rsidP="00F973CE">
            <w:pPr>
              <w:spacing w:after="0" w:line="240" w:lineRule="auto"/>
              <w:jc w:val="center"/>
              <w:rPr>
                <w:rFonts w:eastAsia="Calibri"/>
                <w:noProof/>
                <w:spacing w:val="0"/>
                <w:lang w:val="es-DO"/>
              </w:rPr>
            </w:pPr>
            <w:r w:rsidRPr="00232EBB">
              <w:rPr>
                <w:rFonts w:eastAsia="Calibri"/>
                <w:noProof/>
                <w:spacing w:val="0"/>
                <w:lang w:val="es-DO"/>
              </w:rPr>
              <w:t>Diciembre</w:t>
            </w:r>
          </w:p>
        </w:tc>
        <w:tc>
          <w:tcPr>
            <w:tcW w:w="4405" w:type="dxa"/>
            <w:tcBorders>
              <w:top w:val="single" w:sz="4" w:space="0" w:color="auto"/>
              <w:left w:val="single" w:sz="4" w:space="0" w:color="auto"/>
              <w:bottom w:val="single" w:sz="4" w:space="0" w:color="auto"/>
              <w:right w:val="single" w:sz="4" w:space="0" w:color="auto"/>
            </w:tcBorders>
            <w:vAlign w:val="center"/>
          </w:tcPr>
          <w:p w14:paraId="7F530566" w14:textId="7FBF2431" w:rsidR="00F973CE" w:rsidRPr="00232EBB" w:rsidRDefault="00F973CE" w:rsidP="00F973CE">
            <w:pPr>
              <w:spacing w:after="0" w:line="240" w:lineRule="auto"/>
              <w:jc w:val="center"/>
              <w:rPr>
                <w:rFonts w:eastAsia="Calibri"/>
                <w:noProof/>
                <w:spacing w:val="0"/>
                <w:lang w:val="es-DO"/>
              </w:rPr>
            </w:pPr>
            <w:r w:rsidRPr="00232EBB">
              <w:rPr>
                <w:rFonts w:eastAsia="Calibri"/>
                <w:noProof/>
                <w:spacing w:val="0"/>
                <w:lang w:val="es-DO"/>
              </w:rPr>
              <w:t>Pendiente de calificar por la DIGEIG</w:t>
            </w:r>
          </w:p>
        </w:tc>
      </w:tr>
    </w:tbl>
    <w:p w14:paraId="557E3B88" w14:textId="5AC50D10" w:rsidR="00F973CE" w:rsidRPr="00232EBB" w:rsidRDefault="00F973CE" w:rsidP="00F973CE">
      <w:pPr>
        <w:spacing w:before="240" w:after="0" w:line="360" w:lineRule="auto"/>
        <w:rPr>
          <w:sz w:val="18"/>
          <w:lang w:val="es-ES"/>
        </w:rPr>
      </w:pPr>
      <w:r w:rsidRPr="00232EBB">
        <w:rPr>
          <w:b/>
          <w:bCs/>
          <w:sz w:val="18"/>
          <w:lang w:val="es-ES"/>
        </w:rPr>
        <w:t xml:space="preserve">Tabla </w:t>
      </w:r>
      <w:r w:rsidR="000400ED" w:rsidRPr="00232EBB">
        <w:rPr>
          <w:b/>
          <w:bCs/>
          <w:sz w:val="18"/>
          <w:lang w:val="es-ES"/>
        </w:rPr>
        <w:t>2</w:t>
      </w:r>
      <w:r w:rsidR="00E27BAB">
        <w:rPr>
          <w:b/>
          <w:bCs/>
          <w:sz w:val="18"/>
          <w:lang w:val="es-ES"/>
        </w:rPr>
        <w:t>7</w:t>
      </w:r>
      <w:r w:rsidRPr="00232EBB">
        <w:rPr>
          <w:b/>
          <w:bCs/>
          <w:sz w:val="18"/>
          <w:lang w:val="es-ES"/>
        </w:rPr>
        <w:t>:</w:t>
      </w:r>
      <w:r w:rsidRPr="00232EBB">
        <w:rPr>
          <w:sz w:val="18"/>
          <w:lang w:val="es-ES"/>
        </w:rPr>
        <w:t xml:space="preserve"> Calificación portal de transparencia 202</w:t>
      </w:r>
      <w:r w:rsidR="00E57A65" w:rsidRPr="00232EBB">
        <w:rPr>
          <w:sz w:val="18"/>
          <w:lang w:val="es-ES"/>
        </w:rPr>
        <w:t>5</w:t>
      </w:r>
    </w:p>
    <w:p w14:paraId="11B2F5C8" w14:textId="77777777" w:rsidR="004C1458" w:rsidRPr="00232EBB" w:rsidRDefault="004C1458" w:rsidP="00E57A65">
      <w:pPr>
        <w:jc w:val="both"/>
        <w:rPr>
          <w:b/>
          <w:bCs/>
          <w:lang w:val="es-DO"/>
        </w:rPr>
      </w:pPr>
    </w:p>
    <w:p w14:paraId="4F358E89" w14:textId="30F17CFB" w:rsidR="00E57A65" w:rsidRPr="00232EBB" w:rsidRDefault="00E57A65" w:rsidP="004F330B">
      <w:pPr>
        <w:spacing w:after="240" w:line="360" w:lineRule="auto"/>
        <w:jc w:val="both"/>
        <w:rPr>
          <w:sz w:val="18"/>
          <w:lang w:val="es-DO"/>
        </w:rPr>
      </w:pPr>
      <w:r w:rsidRPr="00232EBB">
        <w:rPr>
          <w:rFonts w:eastAsia="Calibri"/>
          <w:lang w:val="es-DO"/>
        </w:rPr>
        <w:t xml:space="preserve">Finalización exitosa de la Campaña Dominicana Sin Corrupción mediante capacitaciones y campañas de sensibilización interna de la </w:t>
      </w:r>
      <w:r w:rsidR="00640D33" w:rsidRPr="00232EBB">
        <w:rPr>
          <w:rFonts w:eastAsia="Calibri"/>
          <w:lang w:val="es-DO"/>
        </w:rPr>
        <w:t>Comisión</w:t>
      </w:r>
      <w:r w:rsidRPr="00232EBB">
        <w:rPr>
          <w:rFonts w:eastAsia="Calibri"/>
          <w:lang w:val="es-DO"/>
        </w:rPr>
        <w:t xml:space="preserve"> de Integridad Gubernamental y Cumplimiento </w:t>
      </w:r>
      <w:r w:rsidR="0076561C" w:rsidRPr="00232EBB">
        <w:rPr>
          <w:rFonts w:eastAsia="Calibri"/>
          <w:lang w:val="es-DO"/>
        </w:rPr>
        <w:t>Normativo:</w:t>
      </w:r>
    </w:p>
    <w:tbl>
      <w:tblPr>
        <w:tblW w:w="7478" w:type="dxa"/>
        <w:jc w:val="center"/>
        <w:tblLayout w:type="fixed"/>
        <w:tblLook w:val="04A0" w:firstRow="1" w:lastRow="0" w:firstColumn="1" w:lastColumn="0" w:noHBand="0" w:noVBand="1"/>
      </w:tblPr>
      <w:tblGrid>
        <w:gridCol w:w="2324"/>
        <w:gridCol w:w="2105"/>
        <w:gridCol w:w="3049"/>
      </w:tblGrid>
      <w:tr w:rsidR="00E57A65" w:rsidRPr="004622C5" w14:paraId="2BFBD32A" w14:textId="77777777" w:rsidTr="00C16573">
        <w:trPr>
          <w:trHeight w:val="549"/>
          <w:jc w:val="center"/>
        </w:trPr>
        <w:tc>
          <w:tcPr>
            <w:tcW w:w="2324" w:type="dxa"/>
            <w:tcBorders>
              <w:top w:val="single" w:sz="4" w:space="0" w:color="auto"/>
              <w:left w:val="single" w:sz="4" w:space="0" w:color="auto"/>
              <w:bottom w:val="single" w:sz="4" w:space="0" w:color="auto"/>
              <w:right w:val="single" w:sz="4" w:space="0" w:color="auto"/>
            </w:tcBorders>
            <w:shd w:val="clear" w:color="000000" w:fill="1F3864"/>
            <w:vAlign w:val="center"/>
            <w:hideMark/>
          </w:tcPr>
          <w:p w14:paraId="4AE6A3C4" w14:textId="5D01C0B7" w:rsidR="00E57A65" w:rsidRPr="00232EBB" w:rsidRDefault="00E57A65" w:rsidP="0055368C">
            <w:pPr>
              <w:spacing w:after="0" w:line="240" w:lineRule="auto"/>
              <w:jc w:val="center"/>
              <w:rPr>
                <w:b/>
                <w:bCs/>
                <w:noProof/>
                <w:color w:val="FFFFFF" w:themeColor="background1"/>
                <w:sz w:val="22"/>
                <w:szCs w:val="22"/>
                <w:lang w:val="es-MX"/>
              </w:rPr>
            </w:pPr>
            <w:r w:rsidRPr="00232EBB">
              <w:rPr>
                <w:b/>
                <w:bCs/>
                <w:noProof/>
                <w:color w:val="FFFFFF" w:themeColor="background1"/>
                <w:sz w:val="22"/>
                <w:szCs w:val="22"/>
                <w:lang w:val="es-MX"/>
              </w:rPr>
              <w:t>Temas</w:t>
            </w:r>
          </w:p>
        </w:tc>
        <w:tc>
          <w:tcPr>
            <w:tcW w:w="2105" w:type="dxa"/>
            <w:tcBorders>
              <w:top w:val="single" w:sz="4" w:space="0" w:color="auto"/>
              <w:left w:val="nil"/>
              <w:bottom w:val="single" w:sz="4" w:space="0" w:color="auto"/>
              <w:right w:val="single" w:sz="4" w:space="0" w:color="auto"/>
            </w:tcBorders>
            <w:shd w:val="clear" w:color="000000" w:fill="1F3864"/>
            <w:vAlign w:val="center"/>
            <w:hideMark/>
          </w:tcPr>
          <w:p w14:paraId="0D257C7C" w14:textId="35FF0FF4" w:rsidR="00E57A65" w:rsidRPr="00232EBB" w:rsidRDefault="00E57A65" w:rsidP="0055368C">
            <w:pPr>
              <w:spacing w:after="0" w:line="240" w:lineRule="auto"/>
              <w:jc w:val="center"/>
              <w:rPr>
                <w:b/>
                <w:bCs/>
                <w:noProof/>
                <w:color w:val="FFFFFF" w:themeColor="background1"/>
                <w:sz w:val="22"/>
                <w:szCs w:val="22"/>
                <w:lang w:val="es-MX"/>
              </w:rPr>
            </w:pPr>
            <w:r w:rsidRPr="00232EBB">
              <w:rPr>
                <w:b/>
                <w:bCs/>
                <w:noProof/>
                <w:color w:val="FFFFFF" w:themeColor="background1"/>
                <w:sz w:val="22"/>
                <w:szCs w:val="22"/>
                <w:lang w:val="es-MX"/>
              </w:rPr>
              <w:t>Invitados</w:t>
            </w:r>
          </w:p>
        </w:tc>
        <w:tc>
          <w:tcPr>
            <w:tcW w:w="3049" w:type="dxa"/>
            <w:tcBorders>
              <w:top w:val="single" w:sz="4" w:space="0" w:color="auto"/>
              <w:left w:val="nil"/>
              <w:bottom w:val="single" w:sz="4" w:space="0" w:color="auto"/>
              <w:right w:val="single" w:sz="4" w:space="0" w:color="auto"/>
            </w:tcBorders>
            <w:shd w:val="clear" w:color="000000" w:fill="1F3864"/>
            <w:vAlign w:val="center"/>
            <w:hideMark/>
          </w:tcPr>
          <w:p w14:paraId="72255232" w14:textId="7953A8B8" w:rsidR="00E57A65" w:rsidRPr="00232EBB" w:rsidRDefault="00E57A65" w:rsidP="0055368C">
            <w:pPr>
              <w:spacing w:after="0" w:line="240" w:lineRule="auto"/>
              <w:jc w:val="center"/>
              <w:rPr>
                <w:b/>
                <w:bCs/>
                <w:noProof/>
                <w:color w:val="FFFFFF" w:themeColor="background1"/>
                <w:sz w:val="22"/>
                <w:szCs w:val="22"/>
                <w:lang w:val="es-MX"/>
              </w:rPr>
            </w:pPr>
            <w:r w:rsidRPr="00232EBB">
              <w:rPr>
                <w:b/>
                <w:bCs/>
                <w:noProof/>
                <w:color w:val="FFFFFF" w:themeColor="background1"/>
                <w:sz w:val="22"/>
                <w:szCs w:val="22"/>
                <w:lang w:val="es-MX"/>
              </w:rPr>
              <w:t>Colaboradores Impactados directamente en las capacitaciones</w:t>
            </w:r>
          </w:p>
        </w:tc>
      </w:tr>
      <w:tr w:rsidR="00E57A65" w:rsidRPr="00232EBB" w14:paraId="426F40E1" w14:textId="77777777" w:rsidTr="004F330B">
        <w:trPr>
          <w:trHeight w:val="334"/>
          <w:jc w:val="center"/>
        </w:trPr>
        <w:tc>
          <w:tcPr>
            <w:tcW w:w="2324" w:type="dxa"/>
            <w:tcBorders>
              <w:top w:val="nil"/>
              <w:left w:val="single" w:sz="4" w:space="0" w:color="auto"/>
              <w:bottom w:val="single" w:sz="4" w:space="0" w:color="auto"/>
              <w:right w:val="single" w:sz="4" w:space="0" w:color="auto"/>
            </w:tcBorders>
            <w:vAlign w:val="center"/>
          </w:tcPr>
          <w:p w14:paraId="76E0BBE9" w14:textId="49B20FA4" w:rsidR="00E57A65" w:rsidRPr="00232EBB" w:rsidRDefault="00BB66FB" w:rsidP="004F330B">
            <w:pPr>
              <w:spacing w:after="0" w:line="240" w:lineRule="auto"/>
              <w:jc w:val="center"/>
              <w:rPr>
                <w:noProof/>
                <w:sz w:val="20"/>
                <w:szCs w:val="20"/>
                <w:lang w:val="es-MX"/>
              </w:rPr>
            </w:pPr>
            <w:r w:rsidRPr="00232EBB">
              <w:rPr>
                <w:noProof/>
                <w:sz w:val="20"/>
                <w:szCs w:val="20"/>
                <w:lang w:val="es-MX"/>
              </w:rPr>
              <w:t>Integridad y prevención de la corrupción</w:t>
            </w:r>
          </w:p>
        </w:tc>
        <w:tc>
          <w:tcPr>
            <w:tcW w:w="2105" w:type="dxa"/>
            <w:tcBorders>
              <w:top w:val="nil"/>
              <w:left w:val="nil"/>
              <w:bottom w:val="single" w:sz="4" w:space="0" w:color="auto"/>
              <w:right w:val="single" w:sz="4" w:space="0" w:color="auto"/>
            </w:tcBorders>
            <w:vAlign w:val="center"/>
          </w:tcPr>
          <w:p w14:paraId="2695C8B1" w14:textId="55E64A81" w:rsidR="00E57A65" w:rsidRPr="00232EBB" w:rsidRDefault="00BB66FB" w:rsidP="004F330B">
            <w:pPr>
              <w:spacing w:after="0" w:line="240" w:lineRule="auto"/>
              <w:jc w:val="center"/>
              <w:rPr>
                <w:noProof/>
                <w:sz w:val="20"/>
                <w:szCs w:val="20"/>
                <w:lang w:val="es-MX"/>
              </w:rPr>
            </w:pPr>
            <w:r w:rsidRPr="00232EBB">
              <w:rPr>
                <w:noProof/>
                <w:sz w:val="20"/>
                <w:szCs w:val="20"/>
                <w:lang w:val="es-MX"/>
              </w:rPr>
              <w:t>Rony Pérez</w:t>
            </w:r>
          </w:p>
        </w:tc>
        <w:tc>
          <w:tcPr>
            <w:tcW w:w="3049" w:type="dxa"/>
            <w:tcBorders>
              <w:top w:val="nil"/>
              <w:left w:val="nil"/>
              <w:bottom w:val="single" w:sz="4" w:space="0" w:color="auto"/>
              <w:right w:val="single" w:sz="4" w:space="0" w:color="auto"/>
            </w:tcBorders>
            <w:vAlign w:val="center"/>
          </w:tcPr>
          <w:p w14:paraId="5B40E945" w14:textId="360DB5AF" w:rsidR="00E57A65" w:rsidRPr="00232EBB" w:rsidRDefault="00BB66FB" w:rsidP="004F330B">
            <w:pPr>
              <w:spacing w:after="0" w:line="240" w:lineRule="auto"/>
              <w:jc w:val="center"/>
              <w:rPr>
                <w:noProof/>
                <w:sz w:val="20"/>
                <w:szCs w:val="20"/>
                <w:lang w:val="es-MX"/>
              </w:rPr>
            </w:pPr>
            <w:r w:rsidRPr="00232EBB">
              <w:rPr>
                <w:noProof/>
                <w:sz w:val="20"/>
                <w:szCs w:val="20"/>
                <w:lang w:val="es-MX"/>
              </w:rPr>
              <w:t>36</w:t>
            </w:r>
          </w:p>
        </w:tc>
      </w:tr>
      <w:tr w:rsidR="00E57A65" w:rsidRPr="00232EBB" w14:paraId="565EB93F" w14:textId="77777777" w:rsidTr="004F330B">
        <w:trPr>
          <w:trHeight w:val="266"/>
          <w:jc w:val="center"/>
        </w:trPr>
        <w:tc>
          <w:tcPr>
            <w:tcW w:w="2324" w:type="dxa"/>
            <w:tcBorders>
              <w:top w:val="nil"/>
              <w:left w:val="single" w:sz="4" w:space="0" w:color="auto"/>
              <w:bottom w:val="single" w:sz="4" w:space="0" w:color="auto"/>
              <w:right w:val="single" w:sz="4" w:space="0" w:color="auto"/>
            </w:tcBorders>
            <w:vAlign w:val="center"/>
          </w:tcPr>
          <w:p w14:paraId="4118D420" w14:textId="02BF3CD5" w:rsidR="00E57A65" w:rsidRPr="00232EBB" w:rsidRDefault="00BB66FB" w:rsidP="004F330B">
            <w:pPr>
              <w:spacing w:after="0" w:line="240" w:lineRule="auto"/>
              <w:jc w:val="center"/>
              <w:rPr>
                <w:noProof/>
                <w:sz w:val="20"/>
                <w:szCs w:val="20"/>
                <w:lang w:val="es-MX"/>
              </w:rPr>
            </w:pPr>
            <w:r w:rsidRPr="00232EBB">
              <w:rPr>
                <w:noProof/>
                <w:sz w:val="20"/>
                <w:szCs w:val="20"/>
                <w:lang w:val="es-MX"/>
              </w:rPr>
              <w:t>Discreción</w:t>
            </w:r>
          </w:p>
        </w:tc>
        <w:tc>
          <w:tcPr>
            <w:tcW w:w="2105" w:type="dxa"/>
            <w:tcBorders>
              <w:top w:val="nil"/>
              <w:left w:val="nil"/>
              <w:bottom w:val="single" w:sz="4" w:space="0" w:color="auto"/>
              <w:right w:val="single" w:sz="4" w:space="0" w:color="auto"/>
            </w:tcBorders>
            <w:vAlign w:val="center"/>
          </w:tcPr>
          <w:p w14:paraId="708EA80A" w14:textId="598D3B11" w:rsidR="00E57A65" w:rsidRPr="00232EBB" w:rsidRDefault="00BB66FB" w:rsidP="004F330B">
            <w:pPr>
              <w:spacing w:after="0" w:line="240" w:lineRule="auto"/>
              <w:jc w:val="center"/>
              <w:rPr>
                <w:noProof/>
                <w:sz w:val="20"/>
                <w:szCs w:val="20"/>
                <w:lang w:val="es-MX"/>
              </w:rPr>
            </w:pPr>
            <w:r w:rsidRPr="00232EBB">
              <w:rPr>
                <w:noProof/>
                <w:sz w:val="20"/>
                <w:szCs w:val="20"/>
                <w:lang w:val="es-MX"/>
              </w:rPr>
              <w:t>Yovanny Díaz Méndoza</w:t>
            </w:r>
          </w:p>
        </w:tc>
        <w:tc>
          <w:tcPr>
            <w:tcW w:w="3049" w:type="dxa"/>
            <w:tcBorders>
              <w:top w:val="nil"/>
              <w:left w:val="nil"/>
              <w:bottom w:val="single" w:sz="4" w:space="0" w:color="auto"/>
              <w:right w:val="single" w:sz="4" w:space="0" w:color="auto"/>
            </w:tcBorders>
            <w:vAlign w:val="center"/>
          </w:tcPr>
          <w:p w14:paraId="2BD16E5C" w14:textId="357A7685" w:rsidR="00E57A65" w:rsidRPr="00232EBB" w:rsidRDefault="00BB66FB" w:rsidP="004F330B">
            <w:pPr>
              <w:spacing w:after="0" w:line="240" w:lineRule="auto"/>
              <w:jc w:val="center"/>
              <w:rPr>
                <w:noProof/>
                <w:sz w:val="20"/>
                <w:szCs w:val="20"/>
                <w:lang w:val="es-MX"/>
              </w:rPr>
            </w:pPr>
            <w:r w:rsidRPr="00232EBB">
              <w:rPr>
                <w:noProof/>
                <w:sz w:val="20"/>
                <w:szCs w:val="20"/>
                <w:lang w:val="es-MX"/>
              </w:rPr>
              <w:t>59</w:t>
            </w:r>
          </w:p>
        </w:tc>
      </w:tr>
      <w:tr w:rsidR="00E57A65" w:rsidRPr="00232EBB" w14:paraId="0C3A41FA" w14:textId="77777777" w:rsidTr="004F330B">
        <w:trPr>
          <w:trHeight w:val="357"/>
          <w:jc w:val="center"/>
        </w:trPr>
        <w:tc>
          <w:tcPr>
            <w:tcW w:w="2324" w:type="dxa"/>
            <w:tcBorders>
              <w:top w:val="nil"/>
              <w:left w:val="single" w:sz="4" w:space="0" w:color="auto"/>
              <w:bottom w:val="single" w:sz="4" w:space="0" w:color="auto"/>
              <w:right w:val="single" w:sz="4" w:space="0" w:color="auto"/>
            </w:tcBorders>
            <w:vAlign w:val="center"/>
          </w:tcPr>
          <w:p w14:paraId="0AF5844D" w14:textId="4F6E8851" w:rsidR="00E57A65" w:rsidRPr="00232EBB" w:rsidRDefault="00BB66FB" w:rsidP="004F330B">
            <w:pPr>
              <w:spacing w:after="0" w:line="240" w:lineRule="auto"/>
              <w:jc w:val="center"/>
              <w:rPr>
                <w:noProof/>
                <w:sz w:val="20"/>
                <w:szCs w:val="20"/>
                <w:lang w:val="es-MX"/>
              </w:rPr>
            </w:pPr>
            <w:r w:rsidRPr="00232EBB">
              <w:rPr>
                <w:noProof/>
                <w:sz w:val="20"/>
                <w:szCs w:val="20"/>
                <w:lang w:val="es-MX"/>
              </w:rPr>
              <w:t>Meritocracía</w:t>
            </w:r>
          </w:p>
        </w:tc>
        <w:tc>
          <w:tcPr>
            <w:tcW w:w="2105" w:type="dxa"/>
            <w:tcBorders>
              <w:top w:val="nil"/>
              <w:left w:val="nil"/>
              <w:bottom w:val="single" w:sz="4" w:space="0" w:color="auto"/>
              <w:right w:val="single" w:sz="4" w:space="0" w:color="auto"/>
            </w:tcBorders>
            <w:vAlign w:val="center"/>
          </w:tcPr>
          <w:p w14:paraId="07E12C5B" w14:textId="4F16EA42" w:rsidR="00E57A65" w:rsidRPr="00232EBB" w:rsidRDefault="00BB66FB" w:rsidP="004F330B">
            <w:pPr>
              <w:spacing w:after="0" w:line="240" w:lineRule="auto"/>
              <w:jc w:val="center"/>
              <w:rPr>
                <w:noProof/>
                <w:sz w:val="20"/>
                <w:szCs w:val="20"/>
                <w:lang w:val="es-MX"/>
              </w:rPr>
            </w:pPr>
            <w:r w:rsidRPr="00232EBB">
              <w:rPr>
                <w:noProof/>
                <w:sz w:val="20"/>
                <w:szCs w:val="20"/>
                <w:lang w:val="es-MX"/>
              </w:rPr>
              <w:t>Gregorio Montero</w:t>
            </w:r>
          </w:p>
        </w:tc>
        <w:tc>
          <w:tcPr>
            <w:tcW w:w="3049" w:type="dxa"/>
            <w:tcBorders>
              <w:top w:val="nil"/>
              <w:left w:val="nil"/>
              <w:bottom w:val="single" w:sz="4" w:space="0" w:color="auto"/>
              <w:right w:val="single" w:sz="4" w:space="0" w:color="auto"/>
            </w:tcBorders>
            <w:vAlign w:val="center"/>
          </w:tcPr>
          <w:p w14:paraId="646F633E" w14:textId="3399786E" w:rsidR="00E57A65" w:rsidRPr="00232EBB" w:rsidRDefault="00BB66FB" w:rsidP="004F330B">
            <w:pPr>
              <w:spacing w:after="0" w:line="240" w:lineRule="auto"/>
              <w:jc w:val="center"/>
              <w:rPr>
                <w:noProof/>
                <w:sz w:val="20"/>
                <w:szCs w:val="20"/>
                <w:lang w:val="es-MX"/>
              </w:rPr>
            </w:pPr>
            <w:r w:rsidRPr="00232EBB">
              <w:rPr>
                <w:noProof/>
                <w:sz w:val="20"/>
                <w:szCs w:val="20"/>
                <w:lang w:val="es-MX"/>
              </w:rPr>
              <w:t>26</w:t>
            </w:r>
          </w:p>
        </w:tc>
      </w:tr>
      <w:tr w:rsidR="00E57A65" w:rsidRPr="00232EBB" w14:paraId="2D91C502" w14:textId="77777777" w:rsidTr="004F330B">
        <w:trPr>
          <w:trHeight w:val="233"/>
          <w:jc w:val="center"/>
        </w:trPr>
        <w:tc>
          <w:tcPr>
            <w:tcW w:w="2324" w:type="dxa"/>
            <w:tcBorders>
              <w:top w:val="nil"/>
              <w:left w:val="single" w:sz="4" w:space="0" w:color="auto"/>
              <w:bottom w:val="single" w:sz="4" w:space="0" w:color="auto"/>
              <w:right w:val="single" w:sz="4" w:space="0" w:color="auto"/>
            </w:tcBorders>
            <w:vAlign w:val="center"/>
          </w:tcPr>
          <w:p w14:paraId="3201CA12" w14:textId="7E816ABA" w:rsidR="00E57A65" w:rsidRPr="00232EBB" w:rsidRDefault="00BB66FB" w:rsidP="004F330B">
            <w:pPr>
              <w:spacing w:after="0" w:line="240" w:lineRule="auto"/>
              <w:jc w:val="center"/>
              <w:rPr>
                <w:noProof/>
                <w:sz w:val="20"/>
                <w:szCs w:val="20"/>
                <w:lang w:val="es-MX"/>
              </w:rPr>
            </w:pPr>
            <w:r w:rsidRPr="00232EBB">
              <w:rPr>
                <w:noProof/>
                <w:sz w:val="20"/>
                <w:szCs w:val="20"/>
                <w:lang w:val="es-MX"/>
              </w:rPr>
              <w:lastRenderedPageBreak/>
              <w:t>Responsabilidad</w:t>
            </w:r>
          </w:p>
        </w:tc>
        <w:tc>
          <w:tcPr>
            <w:tcW w:w="2105" w:type="dxa"/>
            <w:tcBorders>
              <w:top w:val="nil"/>
              <w:left w:val="nil"/>
              <w:bottom w:val="single" w:sz="4" w:space="0" w:color="auto"/>
              <w:right w:val="single" w:sz="4" w:space="0" w:color="auto"/>
            </w:tcBorders>
            <w:vAlign w:val="center"/>
          </w:tcPr>
          <w:p w14:paraId="09B1DB80" w14:textId="51C69C23" w:rsidR="00E57A65" w:rsidRPr="00232EBB" w:rsidRDefault="00BB66FB" w:rsidP="004F330B">
            <w:pPr>
              <w:spacing w:after="0" w:line="240" w:lineRule="auto"/>
              <w:jc w:val="center"/>
              <w:rPr>
                <w:noProof/>
                <w:sz w:val="20"/>
                <w:szCs w:val="20"/>
                <w:lang w:val="es-MX"/>
              </w:rPr>
            </w:pPr>
            <w:r w:rsidRPr="00232EBB">
              <w:rPr>
                <w:noProof/>
                <w:sz w:val="20"/>
                <w:szCs w:val="20"/>
                <w:lang w:val="es-MX"/>
              </w:rPr>
              <w:t>Magistrado Argenis García del Rosario</w:t>
            </w:r>
          </w:p>
        </w:tc>
        <w:tc>
          <w:tcPr>
            <w:tcW w:w="3049" w:type="dxa"/>
            <w:tcBorders>
              <w:top w:val="nil"/>
              <w:left w:val="nil"/>
              <w:bottom w:val="single" w:sz="4" w:space="0" w:color="auto"/>
              <w:right w:val="single" w:sz="4" w:space="0" w:color="auto"/>
            </w:tcBorders>
            <w:vAlign w:val="center"/>
          </w:tcPr>
          <w:p w14:paraId="073E7181" w14:textId="6DE2A048" w:rsidR="00E57A65" w:rsidRPr="00232EBB" w:rsidRDefault="00BB66FB" w:rsidP="004F330B">
            <w:pPr>
              <w:spacing w:after="0" w:line="240" w:lineRule="auto"/>
              <w:jc w:val="center"/>
              <w:rPr>
                <w:noProof/>
                <w:sz w:val="20"/>
                <w:szCs w:val="20"/>
                <w:lang w:val="es-MX"/>
              </w:rPr>
            </w:pPr>
            <w:r w:rsidRPr="00232EBB">
              <w:rPr>
                <w:noProof/>
                <w:sz w:val="20"/>
                <w:szCs w:val="20"/>
                <w:lang w:val="es-MX"/>
              </w:rPr>
              <w:t>37</w:t>
            </w:r>
          </w:p>
        </w:tc>
      </w:tr>
      <w:tr w:rsidR="00E57A65" w:rsidRPr="00232EBB" w14:paraId="622099E6" w14:textId="77777777" w:rsidTr="004F330B">
        <w:trPr>
          <w:trHeight w:val="440"/>
          <w:jc w:val="center"/>
        </w:trPr>
        <w:tc>
          <w:tcPr>
            <w:tcW w:w="2324" w:type="dxa"/>
            <w:tcBorders>
              <w:top w:val="nil"/>
              <w:left w:val="single" w:sz="4" w:space="0" w:color="auto"/>
              <w:bottom w:val="single" w:sz="4" w:space="0" w:color="auto"/>
              <w:right w:val="single" w:sz="4" w:space="0" w:color="auto"/>
            </w:tcBorders>
            <w:vAlign w:val="center"/>
          </w:tcPr>
          <w:p w14:paraId="2CD4AFF2" w14:textId="77777777" w:rsidR="00E57A65" w:rsidRPr="00232EBB" w:rsidRDefault="00E57A65" w:rsidP="004F330B">
            <w:pPr>
              <w:spacing w:after="0" w:line="240" w:lineRule="auto"/>
              <w:jc w:val="center"/>
              <w:rPr>
                <w:b/>
                <w:bCs/>
                <w:noProof/>
                <w:sz w:val="20"/>
                <w:szCs w:val="20"/>
                <w:lang w:val="es-MX"/>
              </w:rPr>
            </w:pPr>
            <w:r w:rsidRPr="00232EBB">
              <w:rPr>
                <w:b/>
                <w:bCs/>
                <w:noProof/>
                <w:sz w:val="20"/>
                <w:szCs w:val="20"/>
                <w:lang w:val="es-MX"/>
              </w:rPr>
              <w:t>TOTAL</w:t>
            </w:r>
          </w:p>
        </w:tc>
        <w:tc>
          <w:tcPr>
            <w:tcW w:w="2105" w:type="dxa"/>
            <w:tcBorders>
              <w:top w:val="nil"/>
              <w:left w:val="nil"/>
              <w:bottom w:val="single" w:sz="4" w:space="0" w:color="auto"/>
              <w:right w:val="single" w:sz="4" w:space="0" w:color="auto"/>
            </w:tcBorders>
            <w:vAlign w:val="center"/>
          </w:tcPr>
          <w:p w14:paraId="766EB46C" w14:textId="75933F40" w:rsidR="00E57A65" w:rsidRPr="00232EBB" w:rsidRDefault="004F330B" w:rsidP="004F330B">
            <w:pPr>
              <w:spacing w:after="0" w:line="240" w:lineRule="auto"/>
              <w:jc w:val="center"/>
              <w:rPr>
                <w:b/>
                <w:bCs/>
                <w:noProof/>
                <w:sz w:val="20"/>
                <w:szCs w:val="20"/>
                <w:lang w:val="es-MX"/>
              </w:rPr>
            </w:pPr>
            <w:r w:rsidRPr="00232EBB">
              <w:rPr>
                <w:b/>
                <w:bCs/>
                <w:noProof/>
                <w:sz w:val="20"/>
                <w:szCs w:val="20"/>
                <w:lang w:val="es-MX"/>
              </w:rPr>
              <w:t>-</w:t>
            </w:r>
          </w:p>
        </w:tc>
        <w:tc>
          <w:tcPr>
            <w:tcW w:w="3049" w:type="dxa"/>
            <w:tcBorders>
              <w:top w:val="nil"/>
              <w:left w:val="nil"/>
              <w:bottom w:val="single" w:sz="4" w:space="0" w:color="auto"/>
              <w:right w:val="single" w:sz="4" w:space="0" w:color="auto"/>
            </w:tcBorders>
            <w:vAlign w:val="center"/>
          </w:tcPr>
          <w:p w14:paraId="100C8774" w14:textId="1FB0F9C4" w:rsidR="00E57A65" w:rsidRPr="00232EBB" w:rsidRDefault="00BB66FB" w:rsidP="004F330B">
            <w:pPr>
              <w:spacing w:after="0" w:line="240" w:lineRule="auto"/>
              <w:jc w:val="center"/>
              <w:rPr>
                <w:b/>
                <w:bCs/>
                <w:noProof/>
                <w:sz w:val="20"/>
                <w:szCs w:val="20"/>
                <w:lang w:val="es-MX"/>
              </w:rPr>
            </w:pPr>
            <w:r w:rsidRPr="00232EBB">
              <w:rPr>
                <w:b/>
                <w:bCs/>
                <w:noProof/>
                <w:sz w:val="20"/>
                <w:szCs w:val="20"/>
                <w:lang w:val="es-MX"/>
              </w:rPr>
              <w:t>158</w:t>
            </w:r>
          </w:p>
        </w:tc>
      </w:tr>
    </w:tbl>
    <w:p w14:paraId="136EAF2F" w14:textId="28876BBE" w:rsidR="00BB66FB" w:rsidRPr="00232EBB" w:rsidRDefault="00DC4778" w:rsidP="00DC4778">
      <w:pPr>
        <w:pStyle w:val="Heading1"/>
        <w:spacing w:after="240" w:line="259" w:lineRule="auto"/>
        <w:ind w:left="270" w:hanging="375"/>
        <w:jc w:val="left"/>
        <w:rPr>
          <w:rFonts w:cs="Times New Roman"/>
          <w:spacing w:val="0"/>
          <w:sz w:val="24"/>
          <w:szCs w:val="24"/>
          <w:lang w:val="es-DO"/>
        </w:rPr>
      </w:pPr>
      <w:bookmarkStart w:id="299" w:name="_Toc216952275"/>
      <w:r w:rsidRPr="00232EBB">
        <w:rPr>
          <w:rFonts w:cs="Times New Roman"/>
          <w:bCs/>
          <w:sz w:val="18"/>
          <w:lang w:val="es-ES"/>
        </w:rPr>
        <w:t xml:space="preserve">Tabla </w:t>
      </w:r>
      <w:r w:rsidR="000400ED" w:rsidRPr="00232EBB">
        <w:rPr>
          <w:rFonts w:cs="Times New Roman"/>
          <w:bCs/>
          <w:sz w:val="18"/>
          <w:lang w:val="es-ES"/>
        </w:rPr>
        <w:t>2</w:t>
      </w:r>
      <w:r w:rsidR="00E27BAB">
        <w:rPr>
          <w:rFonts w:cs="Times New Roman"/>
          <w:bCs/>
          <w:sz w:val="18"/>
          <w:lang w:val="es-ES"/>
        </w:rPr>
        <w:t>8</w:t>
      </w:r>
      <w:r w:rsidRPr="00232EBB">
        <w:rPr>
          <w:rFonts w:cs="Times New Roman"/>
          <w:bCs/>
          <w:sz w:val="18"/>
          <w:lang w:val="es-ES"/>
        </w:rPr>
        <w:t xml:space="preserve">: </w:t>
      </w:r>
      <w:r w:rsidRPr="00232EBB">
        <w:rPr>
          <w:rFonts w:cs="Times New Roman"/>
          <w:b w:val="0"/>
          <w:sz w:val="18"/>
          <w:lang w:val="es-ES"/>
        </w:rPr>
        <w:t>Capacitaciones impartidas</w:t>
      </w:r>
      <w:bookmarkEnd w:id="299"/>
    </w:p>
    <w:p w14:paraId="1E1C076C" w14:textId="77777777" w:rsidR="004C1458" w:rsidRPr="00232EBB" w:rsidRDefault="004C1458" w:rsidP="004C1458">
      <w:pPr>
        <w:rPr>
          <w:lang w:val="es-DO"/>
        </w:rPr>
      </w:pPr>
    </w:p>
    <w:p w14:paraId="6BE8F27A" w14:textId="77777777" w:rsidR="004C1458" w:rsidRPr="00232EBB" w:rsidRDefault="004C1458" w:rsidP="004C1458">
      <w:pPr>
        <w:rPr>
          <w:lang w:val="es-DO"/>
        </w:rPr>
      </w:pPr>
    </w:p>
    <w:p w14:paraId="588B00CB" w14:textId="77777777" w:rsidR="004C1458" w:rsidRPr="00232EBB" w:rsidRDefault="004C1458" w:rsidP="004C1458">
      <w:pPr>
        <w:rPr>
          <w:lang w:val="es-DO"/>
        </w:rPr>
      </w:pPr>
    </w:p>
    <w:p w14:paraId="3158B8BA" w14:textId="13123E81" w:rsidR="00513752" w:rsidRPr="00232EBB" w:rsidRDefault="00513752">
      <w:pPr>
        <w:rPr>
          <w:lang w:val="es-DO"/>
        </w:rPr>
      </w:pPr>
      <w:r w:rsidRPr="00232EBB">
        <w:rPr>
          <w:lang w:val="es-DO"/>
        </w:rPr>
        <w:br w:type="page"/>
      </w:r>
    </w:p>
    <w:p w14:paraId="30FF63ED" w14:textId="32CD9234" w:rsidR="00DD7615" w:rsidRPr="00232EBB" w:rsidRDefault="000F57D8" w:rsidP="008B1084">
      <w:pPr>
        <w:pStyle w:val="Heading1"/>
        <w:spacing w:after="240" w:line="259" w:lineRule="auto"/>
        <w:ind w:left="270" w:hanging="375"/>
        <w:rPr>
          <w:rFonts w:cs="Times New Roman"/>
          <w:spacing w:val="0"/>
          <w:lang w:val="es-DO"/>
        </w:rPr>
      </w:pPr>
      <w:bookmarkStart w:id="300" w:name="_Toc216952276"/>
      <w:r w:rsidRPr="00232EBB">
        <w:rPr>
          <w:rFonts w:cs="Times New Roman"/>
          <w:spacing w:val="0"/>
          <w:lang w:val="es-DO"/>
        </w:rPr>
        <w:lastRenderedPageBreak/>
        <w:t xml:space="preserve">VI. </w:t>
      </w:r>
      <w:r w:rsidR="00DD7615" w:rsidRPr="00232EBB">
        <w:rPr>
          <w:rFonts w:cs="Times New Roman"/>
          <w:spacing w:val="0"/>
          <w:lang w:val="es-DO"/>
        </w:rPr>
        <w:t>PROYECCIONES AL PRÓXIMO AÑO</w:t>
      </w:r>
      <w:bookmarkEnd w:id="300"/>
    </w:p>
    <w:p w14:paraId="50A93A1D" w14:textId="77777777" w:rsidR="00DD7615" w:rsidRPr="00232EBB" w:rsidRDefault="00DD7615" w:rsidP="00DD7615">
      <w:pPr>
        <w:jc w:val="both"/>
        <w:rPr>
          <w:rFonts w:eastAsia="Calibri"/>
          <w:color w:val="4C4747"/>
          <w:sz w:val="18"/>
          <w:lang w:val="es-DO"/>
        </w:rPr>
      </w:pPr>
      <w:r w:rsidRPr="00232EBB">
        <w:rPr>
          <w:rFonts w:eastAsia="Calibri"/>
          <w:noProof/>
          <w:color w:val="4C4747"/>
          <w:sz w:val="18"/>
        </w:rPr>
        <mc:AlternateContent>
          <mc:Choice Requires="wps">
            <w:drawing>
              <wp:anchor distT="0" distB="0" distL="114300" distR="114300" simplePos="0" relativeHeight="251658257" behindDoc="0" locked="0" layoutInCell="1" allowOverlap="1" wp14:anchorId="456CF742" wp14:editId="7F07B1C2">
                <wp:simplePos x="0" y="0"/>
                <wp:positionH relativeFrom="margin">
                  <wp:align>center</wp:align>
                </wp:positionH>
                <wp:positionV relativeFrom="paragraph">
                  <wp:posOffset>19863</wp:posOffset>
                </wp:positionV>
                <wp:extent cx="463550" cy="0"/>
                <wp:effectExtent l="0" t="19050" r="31750" b="19050"/>
                <wp:wrapNone/>
                <wp:docPr id="11"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3550" cy="0"/>
                        </a:xfrm>
                        <a:prstGeom prst="line">
                          <a:avLst/>
                        </a:prstGeom>
                        <a:noFill/>
                        <a:ln w="28575" algn="ctr">
                          <a:solidFill>
                            <a:srgbClr val="EE2A24"/>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475EE50C">
              <v:line id="Straight Connector 11" style="position:absolute;z-index:2517237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o:spid="_x0000_s1026" strokecolor="#ee2a24" strokeweight="2.25pt" from="0,1.55pt" to="36.5pt,1.55pt" w14:anchorId="16BDEA6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">
                <v:stroke joinstyle="miter"/>
                <w10:wrap anchorx="margin"/>
              </v:line>
            </w:pict>
          </mc:Fallback>
        </mc:AlternateContent>
      </w:r>
    </w:p>
    <w:p w14:paraId="07273B29" w14:textId="68E7480A" w:rsidR="00DD7615" w:rsidRPr="00232EBB" w:rsidRDefault="00DD7615" w:rsidP="003303DE">
      <w:pPr>
        <w:pStyle w:val="Heading1"/>
        <w:spacing w:after="240" w:line="259" w:lineRule="auto"/>
        <w:ind w:left="270" w:hanging="375"/>
        <w:rPr>
          <w:rFonts w:cs="Times New Roman"/>
          <w:b w:val="0"/>
          <w:bCs/>
          <w:spacing w:val="0"/>
          <w:sz w:val="24"/>
          <w:szCs w:val="28"/>
          <w:lang w:val="es-DO"/>
        </w:rPr>
      </w:pPr>
      <w:bookmarkStart w:id="301" w:name="_Toc184981220"/>
      <w:bookmarkStart w:id="302" w:name="_Toc216952277"/>
      <w:r w:rsidRPr="00232EBB">
        <w:rPr>
          <w:rFonts w:cs="Times New Roman"/>
          <w:b w:val="0"/>
          <w:bCs/>
          <w:spacing w:val="0"/>
          <w:sz w:val="24"/>
          <w:szCs w:val="28"/>
          <w:lang w:val="es-DO"/>
        </w:rPr>
        <w:t xml:space="preserve">Memoria </w:t>
      </w:r>
      <w:r w:rsidR="00F05DF4" w:rsidRPr="00232EBB">
        <w:rPr>
          <w:rFonts w:cs="Times New Roman"/>
          <w:b w:val="0"/>
          <w:bCs/>
          <w:spacing w:val="0"/>
          <w:sz w:val="24"/>
          <w:szCs w:val="28"/>
          <w:lang w:val="es-DO"/>
        </w:rPr>
        <w:t>I</w:t>
      </w:r>
      <w:r w:rsidRPr="00232EBB">
        <w:rPr>
          <w:rFonts w:cs="Times New Roman"/>
          <w:b w:val="0"/>
          <w:bCs/>
          <w:spacing w:val="0"/>
          <w:sz w:val="24"/>
          <w:szCs w:val="28"/>
          <w:lang w:val="es-DO"/>
        </w:rPr>
        <w:t xml:space="preserve">nstitucional </w:t>
      </w:r>
      <w:r w:rsidR="000025D4" w:rsidRPr="00232EBB">
        <w:rPr>
          <w:rFonts w:cs="Times New Roman"/>
          <w:b w:val="0"/>
          <w:bCs/>
          <w:spacing w:val="0"/>
          <w:sz w:val="24"/>
          <w:szCs w:val="28"/>
          <w:lang w:val="es-DO"/>
        </w:rPr>
        <w:t>202</w:t>
      </w:r>
      <w:bookmarkEnd w:id="301"/>
      <w:r w:rsidR="00BB66FB" w:rsidRPr="00232EBB">
        <w:rPr>
          <w:rFonts w:cs="Times New Roman"/>
          <w:b w:val="0"/>
          <w:bCs/>
          <w:spacing w:val="0"/>
          <w:sz w:val="24"/>
          <w:szCs w:val="28"/>
          <w:lang w:val="es-DO"/>
        </w:rPr>
        <w:t>5</w:t>
      </w:r>
      <w:bookmarkEnd w:id="302"/>
    </w:p>
    <w:p w14:paraId="1997FC59" w14:textId="70A5FF09" w:rsidR="00D34AE1" w:rsidRPr="00232EBB" w:rsidRDefault="00D34AE1" w:rsidP="00E47554">
      <w:pPr>
        <w:spacing w:line="360" w:lineRule="auto"/>
        <w:jc w:val="both"/>
        <w:rPr>
          <w:rFonts w:eastAsia="Calibri"/>
          <w:noProof/>
          <w:lang w:val="es-DO"/>
        </w:rPr>
      </w:pPr>
      <w:r w:rsidRPr="00232EBB">
        <w:rPr>
          <w:rFonts w:eastAsia="Calibri"/>
          <w:noProof/>
          <w:lang w:val="es-DO"/>
        </w:rPr>
        <w:t>Proyectamos un total de recaudación para el año 202</w:t>
      </w:r>
      <w:r w:rsidR="00F879C3" w:rsidRPr="00232EBB">
        <w:rPr>
          <w:rFonts w:eastAsia="Calibri"/>
          <w:noProof/>
          <w:lang w:val="es-DO"/>
        </w:rPr>
        <w:t>6</w:t>
      </w:r>
      <w:r w:rsidRPr="00232EBB">
        <w:rPr>
          <w:rFonts w:eastAsia="Calibri"/>
          <w:noProof/>
          <w:lang w:val="es-DO"/>
        </w:rPr>
        <w:t xml:space="preserve"> superior a los $2</w:t>
      </w:r>
      <w:r w:rsidR="00F879C3" w:rsidRPr="00232EBB">
        <w:rPr>
          <w:rFonts w:eastAsia="Calibri"/>
          <w:noProof/>
          <w:lang w:val="es-DO"/>
        </w:rPr>
        <w:t>51</w:t>
      </w:r>
      <w:r w:rsidRPr="00232EBB">
        <w:rPr>
          <w:rFonts w:eastAsia="Calibri"/>
          <w:noProof/>
          <w:lang w:val="es-DO"/>
        </w:rPr>
        <w:t>MM,</w:t>
      </w:r>
      <w:r w:rsidR="0076561C" w:rsidRPr="00232EBB">
        <w:rPr>
          <w:rFonts w:eastAsia="Calibri"/>
          <w:noProof/>
          <w:lang w:val="es-DO"/>
        </w:rPr>
        <w:t xml:space="preserve"> e</w:t>
      </w:r>
      <w:r w:rsidRPr="00232EBB">
        <w:rPr>
          <w:rFonts w:eastAsia="Calibri"/>
          <w:noProof/>
          <w:lang w:val="es-DO"/>
        </w:rPr>
        <w:t>ste cierre anual se espera con la participación de más de 100,000</w:t>
      </w:r>
      <w:r w:rsidR="00924CEF" w:rsidRPr="00232EBB">
        <w:rPr>
          <w:rFonts w:eastAsia="Calibri"/>
          <w:noProof/>
          <w:lang w:val="es-DO"/>
        </w:rPr>
        <w:t xml:space="preserve"> </w:t>
      </w:r>
      <w:r w:rsidRPr="00232EBB">
        <w:rPr>
          <w:rFonts w:eastAsia="Calibri"/>
          <w:noProof/>
          <w:lang w:val="es-DO"/>
        </w:rPr>
        <w:t xml:space="preserve"> empleadores.</w:t>
      </w:r>
    </w:p>
    <w:p w14:paraId="65E59180" w14:textId="327303AB" w:rsidR="001243CC" w:rsidRPr="00232EBB" w:rsidRDefault="001243CC" w:rsidP="00E47554">
      <w:pPr>
        <w:spacing w:line="360" w:lineRule="auto"/>
        <w:jc w:val="both"/>
        <w:rPr>
          <w:rFonts w:eastAsia="Calibri"/>
          <w:noProof/>
          <w:lang w:val="es-DO"/>
        </w:rPr>
      </w:pPr>
      <w:r w:rsidRPr="00232EBB">
        <w:rPr>
          <w:rFonts w:eastAsia="Calibri"/>
          <w:noProof/>
          <w:lang w:val="es-DO"/>
        </w:rPr>
        <w:t>Para el  año 202</w:t>
      </w:r>
      <w:r w:rsidR="00F879C3" w:rsidRPr="00232EBB">
        <w:rPr>
          <w:rFonts w:eastAsia="Calibri"/>
          <w:noProof/>
          <w:lang w:val="es-DO"/>
        </w:rPr>
        <w:t>6</w:t>
      </w:r>
      <w:r w:rsidRPr="00232EBB">
        <w:rPr>
          <w:rFonts w:eastAsia="Calibri"/>
          <w:noProof/>
          <w:lang w:val="es-DO"/>
        </w:rPr>
        <w:t xml:space="preserve">, </w:t>
      </w:r>
      <w:r w:rsidR="00F879C3" w:rsidRPr="00232EBB">
        <w:rPr>
          <w:rFonts w:eastAsia="Calibri"/>
          <w:noProof/>
          <w:lang w:val="es-DO"/>
        </w:rPr>
        <w:t xml:space="preserve">alineados a la política transversal  de Sostenibilidad Ambiental de la Estrategia Nacional de Desarrollo, </w:t>
      </w:r>
      <w:r w:rsidRPr="00232EBB">
        <w:rPr>
          <w:rFonts w:eastAsia="Calibri"/>
          <w:noProof/>
          <w:lang w:val="es-DO"/>
        </w:rPr>
        <w:t>continuaremos con la implementación de las políticas de compras verdes, buscando minimizar nuestro impacto sobre el medioambiente y maximixar el costo/beneficio en todo el ciclo de vida de lo contratado.</w:t>
      </w:r>
    </w:p>
    <w:p w14:paraId="2EB7FAAF" w14:textId="618B1AED" w:rsidR="001243CC" w:rsidRPr="00232EBB" w:rsidRDefault="001243CC" w:rsidP="00E47554">
      <w:pPr>
        <w:spacing w:line="360" w:lineRule="auto"/>
        <w:jc w:val="both"/>
        <w:rPr>
          <w:rFonts w:eastAsia="Calibri"/>
          <w:noProof/>
          <w:lang w:val="es-DO"/>
        </w:rPr>
      </w:pPr>
      <w:r w:rsidRPr="00232EBB">
        <w:rPr>
          <w:rFonts w:eastAsia="Calibri"/>
          <w:noProof/>
          <w:lang w:val="es-DO"/>
        </w:rPr>
        <w:t xml:space="preserve">Alineados con nuestros objetivos de tranformación digital y optimización de procesos, continuaremos </w:t>
      </w:r>
      <w:r w:rsidR="00CC2620" w:rsidRPr="00232EBB">
        <w:rPr>
          <w:rFonts w:eastAsia="Calibri"/>
          <w:noProof/>
          <w:lang w:val="es-DO"/>
        </w:rPr>
        <w:t>con la automatización de los procesos misionales que actualmente se realizan manual.</w:t>
      </w:r>
    </w:p>
    <w:p w14:paraId="46B116DC" w14:textId="11B7A69E" w:rsidR="00CC2620" w:rsidRPr="00232EBB" w:rsidRDefault="00CC2620" w:rsidP="00E47554">
      <w:pPr>
        <w:spacing w:line="360" w:lineRule="auto"/>
        <w:jc w:val="both"/>
        <w:rPr>
          <w:rFonts w:eastAsia="Calibri"/>
          <w:noProof/>
          <w:lang w:val="es-DO"/>
        </w:rPr>
      </w:pPr>
      <w:r w:rsidRPr="00232EBB">
        <w:rPr>
          <w:rFonts w:eastAsia="Calibri"/>
          <w:noProof/>
          <w:lang w:val="es-DO"/>
        </w:rPr>
        <w:t>Para promover una cultura que fomente y promueva la creatividad y la experimentación, estaremos implementando el programa de innovación que busca revitalizar la capacidad de la organización para adaptarse y prosperar en un entorno en constante cambio.</w:t>
      </w:r>
    </w:p>
    <w:p w14:paraId="2AE95A1E" w14:textId="6E144714" w:rsidR="00B778CF" w:rsidRPr="00232EBB" w:rsidRDefault="00B778CF" w:rsidP="00E47554">
      <w:pPr>
        <w:spacing w:line="360" w:lineRule="auto"/>
        <w:jc w:val="both"/>
        <w:rPr>
          <w:rFonts w:eastAsia="Calibri"/>
          <w:noProof/>
          <w:lang w:val="es-DO"/>
        </w:rPr>
      </w:pPr>
      <w:r w:rsidRPr="00232EBB">
        <w:rPr>
          <w:rFonts w:eastAsia="Calibri"/>
          <w:noProof/>
          <w:lang w:val="es-DO"/>
        </w:rPr>
        <w:t xml:space="preserve">Fortalecimiento y entrenamiento especializado </w:t>
      </w:r>
      <w:r w:rsidR="0068026C" w:rsidRPr="00232EBB">
        <w:rPr>
          <w:rFonts w:eastAsia="Calibri"/>
          <w:noProof/>
          <w:lang w:val="es-DO"/>
        </w:rPr>
        <w:t xml:space="preserve">de 17000 h/h </w:t>
      </w:r>
      <w:r w:rsidRPr="00232EBB">
        <w:rPr>
          <w:rFonts w:eastAsia="Calibri"/>
          <w:noProof/>
          <w:lang w:val="es-DO"/>
        </w:rPr>
        <w:t>en Seguridad Social para entidades relacionadas para mejorar las capacidades y conocimientos de las entidades vinculadas a la Seguridad Social mediante programas de formación especializado</w:t>
      </w:r>
      <w:r w:rsidR="0068026C" w:rsidRPr="00232EBB">
        <w:rPr>
          <w:rFonts w:eastAsia="Calibri"/>
          <w:noProof/>
          <w:lang w:val="es-DO"/>
        </w:rPr>
        <w:t>s</w:t>
      </w:r>
      <w:r w:rsidRPr="00232EBB">
        <w:rPr>
          <w:rFonts w:eastAsia="Calibri"/>
          <w:noProof/>
          <w:lang w:val="es-DO"/>
        </w:rPr>
        <w:t>.</w:t>
      </w:r>
    </w:p>
    <w:p w14:paraId="4FE5AB1D" w14:textId="119B2BFC" w:rsidR="004D5382" w:rsidRPr="00232EBB" w:rsidRDefault="00B778CF" w:rsidP="00E47554">
      <w:pPr>
        <w:spacing w:line="360" w:lineRule="auto"/>
        <w:jc w:val="both"/>
        <w:rPr>
          <w:rFonts w:eastAsia="Calibri"/>
          <w:noProof/>
          <w:lang w:val="es-DO"/>
        </w:rPr>
      </w:pPr>
      <w:r w:rsidRPr="00232EBB">
        <w:rPr>
          <w:rFonts w:eastAsia="Calibri"/>
          <w:noProof/>
          <w:lang w:val="es-DO"/>
        </w:rPr>
        <w:t>Sistema de monitoreo de base de datos, análisis predictivo y de riesgo basado en inteligencia artificial, es un sistema avanzado de monitoreo y análisis de riesgos en la protección de la información sensible para la detección de patrones de comportamientos inusuales en el acceso y uso de datos, permitiendo identificar de manera temprana los posibles riesgos de fuga de información.</w:t>
      </w:r>
    </w:p>
    <w:p w14:paraId="31051B30" w14:textId="4A863F36" w:rsidR="00924F77" w:rsidRPr="00232EBB" w:rsidRDefault="00924F77" w:rsidP="001243CC">
      <w:pPr>
        <w:spacing w:after="0" w:line="360" w:lineRule="auto"/>
        <w:jc w:val="both"/>
        <w:rPr>
          <w:rFonts w:eastAsia="Calibri"/>
          <w:noProof/>
          <w:lang w:val="es-DO"/>
        </w:rPr>
        <w:sectPr w:rsidR="00924F77" w:rsidRPr="00232EBB" w:rsidSect="007D6A4B">
          <w:footerReference w:type="default" r:id="rId59"/>
          <w:pgSz w:w="11906" w:h="16838"/>
          <w:pgMar w:top="1440" w:right="2006" w:bottom="1440" w:left="2160" w:header="720" w:footer="720" w:gutter="0"/>
          <w:cols w:space="708"/>
          <w:docGrid w:linePitch="360"/>
        </w:sectPr>
      </w:pPr>
    </w:p>
    <w:bookmarkStart w:id="303" w:name="_Toc154736755"/>
    <w:bookmarkStart w:id="304" w:name="_Toc216952278"/>
    <w:p w14:paraId="6B1B56FE" w14:textId="6D2CC7EE" w:rsidR="00B47C98" w:rsidRPr="00232EBB" w:rsidRDefault="00B47C98" w:rsidP="000F57D8">
      <w:pPr>
        <w:pStyle w:val="Heading1"/>
        <w:spacing w:after="240" w:line="259" w:lineRule="auto"/>
        <w:ind w:left="360"/>
        <w:rPr>
          <w:rFonts w:cs="Times New Roman"/>
          <w:spacing w:val="0"/>
          <w:lang w:val="es-DO"/>
        </w:rPr>
      </w:pPr>
      <w:r w:rsidRPr="00232EBB">
        <w:rPr>
          <w:rFonts w:cs="Times New Roman"/>
          <w:noProof/>
          <w:spacing w:val="0"/>
          <w:lang w:val="es-DO"/>
        </w:rPr>
        <w:lastRenderedPageBreak/>
        <mc:AlternateContent>
          <mc:Choice Requires="wps">
            <w:drawing>
              <wp:anchor distT="4294967295" distB="4294967295" distL="114300" distR="114300" simplePos="0" relativeHeight="251666468" behindDoc="0" locked="0" layoutInCell="1" allowOverlap="1" wp14:anchorId="0F57597C" wp14:editId="55BBA139">
                <wp:simplePos x="0" y="0"/>
                <wp:positionH relativeFrom="margin">
                  <wp:posOffset>3524413</wp:posOffset>
                </wp:positionH>
                <wp:positionV relativeFrom="paragraph">
                  <wp:posOffset>431165</wp:posOffset>
                </wp:positionV>
                <wp:extent cx="463550" cy="0"/>
                <wp:effectExtent l="0" t="19050" r="31750"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3550" cy="0"/>
                        </a:xfrm>
                        <a:prstGeom prst="line">
                          <a:avLst/>
                        </a:prstGeom>
                        <a:noFill/>
                        <a:ln w="28575" algn="ctr">
                          <a:solidFill>
                            <a:srgbClr val="EE2A24"/>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BE6A24" id="Straight Connector 26" o:spid="_x0000_s1026" style="position:absolute;z-index:251666468;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from="277.5pt,33.95pt" to="314pt,3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" strokecolor="#ee2a24" strokeweight="2.25pt">
                <v:stroke joinstyle="miter"/>
                <w10:wrap anchorx="margin"/>
              </v:line>
            </w:pict>
          </mc:Fallback>
        </mc:AlternateContent>
      </w:r>
      <w:r w:rsidR="009A7266" w:rsidRPr="00232EBB">
        <w:rPr>
          <w:rFonts w:cs="Times New Roman"/>
          <w:spacing w:val="0"/>
          <w:lang w:val="es-DO"/>
        </w:rPr>
        <w:t xml:space="preserve">VII. </w:t>
      </w:r>
      <w:r w:rsidRPr="00232EBB">
        <w:rPr>
          <w:rFonts w:cs="Times New Roman"/>
          <w:spacing w:val="0"/>
          <w:lang w:val="es-DO"/>
        </w:rPr>
        <w:t>ANEXOS</w:t>
      </w:r>
      <w:bookmarkEnd w:id="303"/>
      <w:bookmarkEnd w:id="304"/>
    </w:p>
    <w:p w14:paraId="12E54723" w14:textId="1923F160" w:rsidR="00B47C98" w:rsidRPr="00232EBB" w:rsidRDefault="00B47C98" w:rsidP="00B47C98">
      <w:pPr>
        <w:spacing w:before="240" w:after="240"/>
        <w:jc w:val="center"/>
        <w:rPr>
          <w:sz w:val="22"/>
          <w:szCs w:val="36"/>
          <w:lang w:val="es-DO"/>
        </w:rPr>
      </w:pPr>
      <w:r w:rsidRPr="00232EBB">
        <w:rPr>
          <w:sz w:val="22"/>
          <w:szCs w:val="36"/>
          <w:lang w:val="es-DO"/>
        </w:rPr>
        <w:t>Memoria Institucional 202</w:t>
      </w:r>
      <w:r w:rsidR="00C16573" w:rsidRPr="00232EBB">
        <w:rPr>
          <w:sz w:val="22"/>
          <w:szCs w:val="36"/>
          <w:lang w:val="es-DO"/>
        </w:rPr>
        <w:t>5</w:t>
      </w:r>
    </w:p>
    <w:p w14:paraId="00E6BCBF" w14:textId="1DEA0926" w:rsidR="00B47C98" w:rsidRPr="00232EBB" w:rsidRDefault="009A7266" w:rsidP="00E47554">
      <w:pPr>
        <w:keepNext/>
        <w:keepLines/>
        <w:spacing w:before="240" w:after="240"/>
        <w:ind w:left="-2160"/>
        <w:jc w:val="center"/>
        <w:outlineLvl w:val="0"/>
        <w:rPr>
          <w:rFonts w:eastAsiaTheme="majorEastAsia"/>
          <w:b/>
          <w:color w:val="767171" w:themeColor="background2" w:themeShade="80"/>
          <w:spacing w:val="0"/>
          <w:sz w:val="28"/>
          <w:szCs w:val="32"/>
          <w:lang w:val="es-DO"/>
        </w:rPr>
      </w:pPr>
      <w:bookmarkStart w:id="305" w:name="_Toc154736756"/>
      <w:bookmarkStart w:id="306" w:name="_Toc216952279"/>
      <w:r w:rsidRPr="00232EBB">
        <w:rPr>
          <w:rFonts w:eastAsiaTheme="majorEastAsia"/>
          <w:b/>
          <w:color w:val="767171" w:themeColor="background2" w:themeShade="80"/>
          <w:spacing w:val="0"/>
          <w:sz w:val="28"/>
          <w:szCs w:val="32"/>
          <w:lang w:val="es-DO"/>
        </w:rPr>
        <w:t>7.1 Anexo</w:t>
      </w:r>
      <w:r w:rsidR="00B47C98" w:rsidRPr="00232EBB">
        <w:rPr>
          <w:rFonts w:eastAsiaTheme="majorEastAsia"/>
          <w:b/>
          <w:color w:val="767171" w:themeColor="background2" w:themeShade="80"/>
          <w:spacing w:val="0"/>
          <w:sz w:val="28"/>
          <w:szCs w:val="32"/>
          <w:lang w:val="es-DO"/>
        </w:rPr>
        <w:t xml:space="preserve"> 1: Matriz Logros Relevantes – Datos Cuantitativos (RD$)</w:t>
      </w:r>
      <w:bookmarkEnd w:id="305"/>
      <w:bookmarkEnd w:id="306"/>
    </w:p>
    <w:tbl>
      <w:tblPr>
        <w:tblW w:w="11160" w:type="dxa"/>
        <w:tblInd w:w="-190" w:type="dxa"/>
        <w:tblLayout w:type="fixed"/>
        <w:tblCellMar>
          <w:top w:w="15" w:type="dxa"/>
        </w:tblCellMar>
        <w:tblLook w:val="04A0" w:firstRow="1" w:lastRow="0" w:firstColumn="1" w:lastColumn="0" w:noHBand="0" w:noVBand="1"/>
      </w:tblPr>
      <w:tblGrid>
        <w:gridCol w:w="2001"/>
        <w:gridCol w:w="1059"/>
        <w:gridCol w:w="1260"/>
        <w:gridCol w:w="1260"/>
        <w:gridCol w:w="1170"/>
        <w:gridCol w:w="1440"/>
        <w:gridCol w:w="1350"/>
        <w:gridCol w:w="1620"/>
      </w:tblGrid>
      <w:tr w:rsidR="006E49B1" w:rsidRPr="00232EBB" w14:paraId="06AD7729" w14:textId="268EFD24" w:rsidTr="006E49B1">
        <w:trPr>
          <w:trHeight w:val="568"/>
        </w:trPr>
        <w:tc>
          <w:tcPr>
            <w:tcW w:w="3060" w:type="dxa"/>
            <w:gridSpan w:val="2"/>
            <w:tcBorders>
              <w:top w:val="single" w:sz="8" w:space="0" w:color="auto"/>
              <w:left w:val="single" w:sz="8" w:space="0" w:color="auto"/>
              <w:bottom w:val="single" w:sz="8" w:space="0" w:color="auto"/>
              <w:right w:val="single" w:sz="8" w:space="0" w:color="000000"/>
            </w:tcBorders>
            <w:shd w:val="clear" w:color="000000" w:fill="002060"/>
            <w:noWrap/>
            <w:vAlign w:val="center"/>
            <w:hideMark/>
          </w:tcPr>
          <w:p w14:paraId="633E683F" w14:textId="77777777" w:rsidR="006E49B1" w:rsidRPr="00232EBB" w:rsidRDefault="006E49B1" w:rsidP="00E2462C">
            <w:pPr>
              <w:spacing w:after="0" w:line="240" w:lineRule="auto"/>
              <w:jc w:val="center"/>
              <w:rPr>
                <w:rFonts w:eastAsia="Times New Roman"/>
                <w:b/>
                <w:bCs/>
                <w:color w:val="FFFFFF"/>
                <w:spacing w:val="0"/>
                <w:sz w:val="18"/>
                <w:szCs w:val="18"/>
              </w:rPr>
            </w:pPr>
            <w:r w:rsidRPr="00232EBB">
              <w:rPr>
                <w:rFonts w:eastAsia="Calibri"/>
                <w:b/>
                <w:bCs/>
                <w:color w:val="FFFFFF" w:themeColor="background1"/>
                <w:spacing w:val="0"/>
                <w:sz w:val="18"/>
                <w:szCs w:val="18"/>
              </w:rPr>
              <w:t>PRODUCTO / SERVICIO</w:t>
            </w:r>
          </w:p>
        </w:tc>
        <w:tc>
          <w:tcPr>
            <w:tcW w:w="1260" w:type="dxa"/>
            <w:tcBorders>
              <w:top w:val="single" w:sz="8" w:space="0" w:color="auto"/>
              <w:left w:val="nil"/>
              <w:bottom w:val="single" w:sz="8" w:space="0" w:color="auto"/>
              <w:right w:val="single" w:sz="8" w:space="0" w:color="auto"/>
            </w:tcBorders>
            <w:shd w:val="clear" w:color="000000" w:fill="002060"/>
            <w:noWrap/>
            <w:vAlign w:val="center"/>
            <w:hideMark/>
          </w:tcPr>
          <w:p w14:paraId="6C321FC3" w14:textId="77777777" w:rsidR="006E49B1" w:rsidRPr="00232EBB" w:rsidRDefault="006E49B1" w:rsidP="00E2462C">
            <w:pPr>
              <w:spacing w:after="0" w:line="240" w:lineRule="auto"/>
              <w:jc w:val="center"/>
              <w:rPr>
                <w:rFonts w:eastAsia="Times New Roman"/>
                <w:b/>
                <w:bCs/>
                <w:color w:val="FFFFFF"/>
                <w:spacing w:val="0"/>
                <w:sz w:val="18"/>
                <w:szCs w:val="18"/>
              </w:rPr>
            </w:pPr>
            <w:r w:rsidRPr="00232EBB">
              <w:rPr>
                <w:rFonts w:eastAsia="Calibri"/>
                <w:b/>
                <w:bCs/>
                <w:color w:val="FFFFFF" w:themeColor="background1"/>
                <w:spacing w:val="0"/>
                <w:sz w:val="18"/>
                <w:szCs w:val="18"/>
              </w:rPr>
              <w:t>ENERO</w:t>
            </w:r>
          </w:p>
        </w:tc>
        <w:tc>
          <w:tcPr>
            <w:tcW w:w="1260" w:type="dxa"/>
            <w:tcBorders>
              <w:top w:val="single" w:sz="8" w:space="0" w:color="auto"/>
              <w:left w:val="nil"/>
              <w:bottom w:val="single" w:sz="8" w:space="0" w:color="auto"/>
              <w:right w:val="single" w:sz="8" w:space="0" w:color="auto"/>
            </w:tcBorders>
            <w:shd w:val="clear" w:color="000000" w:fill="002060"/>
            <w:noWrap/>
            <w:vAlign w:val="center"/>
            <w:hideMark/>
          </w:tcPr>
          <w:p w14:paraId="59F964BD" w14:textId="77777777" w:rsidR="006E49B1" w:rsidRPr="00232EBB" w:rsidRDefault="006E49B1" w:rsidP="00E2462C">
            <w:pPr>
              <w:spacing w:after="0" w:line="240" w:lineRule="auto"/>
              <w:jc w:val="center"/>
              <w:rPr>
                <w:rFonts w:eastAsia="Times New Roman"/>
                <w:b/>
                <w:bCs/>
                <w:color w:val="FFFFFF"/>
                <w:spacing w:val="0"/>
                <w:sz w:val="18"/>
                <w:szCs w:val="18"/>
              </w:rPr>
            </w:pPr>
            <w:r w:rsidRPr="00232EBB">
              <w:rPr>
                <w:rFonts w:eastAsia="Calibri"/>
                <w:b/>
                <w:bCs/>
                <w:color w:val="FFFFFF" w:themeColor="background1"/>
                <w:spacing w:val="0"/>
                <w:sz w:val="18"/>
                <w:szCs w:val="18"/>
              </w:rPr>
              <w:t>FEBRERO</w:t>
            </w:r>
          </w:p>
        </w:tc>
        <w:tc>
          <w:tcPr>
            <w:tcW w:w="1170" w:type="dxa"/>
            <w:tcBorders>
              <w:top w:val="single" w:sz="8" w:space="0" w:color="auto"/>
              <w:left w:val="nil"/>
              <w:bottom w:val="single" w:sz="8" w:space="0" w:color="auto"/>
              <w:right w:val="single" w:sz="8" w:space="0" w:color="auto"/>
            </w:tcBorders>
            <w:shd w:val="clear" w:color="000000" w:fill="002060"/>
            <w:noWrap/>
            <w:vAlign w:val="center"/>
            <w:hideMark/>
          </w:tcPr>
          <w:p w14:paraId="4F9A8BE3" w14:textId="77777777" w:rsidR="006E49B1" w:rsidRPr="00232EBB" w:rsidRDefault="006E49B1" w:rsidP="00E2462C">
            <w:pPr>
              <w:spacing w:after="0" w:line="240" w:lineRule="auto"/>
              <w:jc w:val="center"/>
              <w:rPr>
                <w:rFonts w:eastAsia="Times New Roman"/>
                <w:b/>
                <w:bCs/>
                <w:color w:val="FFFFFF"/>
                <w:spacing w:val="0"/>
                <w:sz w:val="18"/>
                <w:szCs w:val="18"/>
              </w:rPr>
            </w:pPr>
            <w:r w:rsidRPr="00232EBB">
              <w:rPr>
                <w:rFonts w:eastAsia="Calibri"/>
                <w:b/>
                <w:bCs/>
                <w:color w:val="FFFFFF" w:themeColor="background1"/>
                <w:spacing w:val="0"/>
                <w:sz w:val="18"/>
                <w:szCs w:val="18"/>
              </w:rPr>
              <w:t>MARZO</w:t>
            </w:r>
          </w:p>
        </w:tc>
        <w:tc>
          <w:tcPr>
            <w:tcW w:w="1440" w:type="dxa"/>
            <w:tcBorders>
              <w:top w:val="single" w:sz="8" w:space="0" w:color="auto"/>
              <w:left w:val="nil"/>
              <w:bottom w:val="single" w:sz="8" w:space="0" w:color="auto"/>
              <w:right w:val="single" w:sz="8" w:space="0" w:color="auto"/>
            </w:tcBorders>
            <w:shd w:val="clear" w:color="000000" w:fill="002060"/>
            <w:noWrap/>
            <w:vAlign w:val="center"/>
            <w:hideMark/>
          </w:tcPr>
          <w:p w14:paraId="76F56C83" w14:textId="77777777" w:rsidR="006E49B1" w:rsidRPr="00232EBB" w:rsidRDefault="006E49B1" w:rsidP="00E2462C">
            <w:pPr>
              <w:spacing w:after="0" w:line="240" w:lineRule="auto"/>
              <w:jc w:val="center"/>
              <w:rPr>
                <w:rFonts w:eastAsia="Times New Roman"/>
                <w:b/>
                <w:bCs/>
                <w:color w:val="FFFFFF"/>
                <w:spacing w:val="0"/>
                <w:sz w:val="18"/>
                <w:szCs w:val="18"/>
              </w:rPr>
            </w:pPr>
            <w:r w:rsidRPr="00232EBB">
              <w:rPr>
                <w:rFonts w:eastAsia="Calibri"/>
                <w:b/>
                <w:bCs/>
                <w:color w:val="FFFFFF" w:themeColor="background1"/>
                <w:spacing w:val="0"/>
                <w:sz w:val="18"/>
                <w:szCs w:val="18"/>
              </w:rPr>
              <w:t>ABRIL</w:t>
            </w:r>
          </w:p>
        </w:tc>
        <w:tc>
          <w:tcPr>
            <w:tcW w:w="1350" w:type="dxa"/>
            <w:tcBorders>
              <w:top w:val="single" w:sz="8" w:space="0" w:color="auto"/>
              <w:left w:val="nil"/>
              <w:bottom w:val="single" w:sz="8" w:space="0" w:color="auto"/>
              <w:right w:val="single" w:sz="8" w:space="0" w:color="auto"/>
            </w:tcBorders>
            <w:shd w:val="clear" w:color="000000" w:fill="002060"/>
            <w:noWrap/>
            <w:vAlign w:val="center"/>
            <w:hideMark/>
          </w:tcPr>
          <w:p w14:paraId="4050D0C1" w14:textId="77777777" w:rsidR="006E49B1" w:rsidRPr="00232EBB" w:rsidRDefault="006E49B1" w:rsidP="00E2462C">
            <w:pPr>
              <w:spacing w:after="0" w:line="240" w:lineRule="auto"/>
              <w:jc w:val="center"/>
              <w:rPr>
                <w:rFonts w:eastAsia="Times New Roman"/>
                <w:b/>
                <w:bCs/>
                <w:color w:val="FFFFFF"/>
                <w:spacing w:val="0"/>
                <w:sz w:val="18"/>
                <w:szCs w:val="18"/>
              </w:rPr>
            </w:pPr>
            <w:r w:rsidRPr="00232EBB">
              <w:rPr>
                <w:rFonts w:eastAsia="Calibri"/>
                <w:b/>
                <w:bCs/>
                <w:color w:val="FFFFFF" w:themeColor="background1"/>
                <w:spacing w:val="0"/>
                <w:sz w:val="18"/>
                <w:szCs w:val="18"/>
              </w:rPr>
              <w:t>MAYO</w:t>
            </w:r>
          </w:p>
        </w:tc>
        <w:tc>
          <w:tcPr>
            <w:tcW w:w="1620" w:type="dxa"/>
            <w:tcBorders>
              <w:top w:val="single" w:sz="8" w:space="0" w:color="auto"/>
              <w:left w:val="nil"/>
              <w:bottom w:val="single" w:sz="8" w:space="0" w:color="auto"/>
              <w:right w:val="single" w:sz="8" w:space="0" w:color="auto"/>
            </w:tcBorders>
            <w:shd w:val="clear" w:color="000000" w:fill="002060"/>
            <w:noWrap/>
            <w:vAlign w:val="center"/>
            <w:hideMark/>
          </w:tcPr>
          <w:p w14:paraId="77655CFE" w14:textId="77777777" w:rsidR="006E49B1" w:rsidRPr="00232EBB" w:rsidRDefault="006E49B1" w:rsidP="00E2462C">
            <w:pPr>
              <w:spacing w:after="0" w:line="240" w:lineRule="auto"/>
              <w:jc w:val="center"/>
              <w:rPr>
                <w:rFonts w:eastAsia="Times New Roman"/>
                <w:b/>
                <w:bCs/>
                <w:color w:val="FFFFFF"/>
                <w:spacing w:val="0"/>
                <w:sz w:val="18"/>
                <w:szCs w:val="18"/>
              </w:rPr>
            </w:pPr>
            <w:r w:rsidRPr="00232EBB">
              <w:rPr>
                <w:rFonts w:eastAsia="Calibri"/>
                <w:b/>
                <w:bCs/>
                <w:color w:val="FFFFFF" w:themeColor="background1"/>
                <w:spacing w:val="0"/>
                <w:sz w:val="18"/>
                <w:szCs w:val="18"/>
              </w:rPr>
              <w:t>JUNIO</w:t>
            </w:r>
          </w:p>
        </w:tc>
      </w:tr>
      <w:tr w:rsidR="006E49B1" w:rsidRPr="00232EBB" w14:paraId="73F13B97" w14:textId="3B4F6AE1" w:rsidTr="006E49B1">
        <w:trPr>
          <w:trHeight w:val="568"/>
        </w:trPr>
        <w:tc>
          <w:tcPr>
            <w:tcW w:w="2001"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7C10F2D" w14:textId="77777777" w:rsidR="006E49B1" w:rsidRPr="00232EBB" w:rsidRDefault="006E49B1" w:rsidP="00E2462C">
            <w:pPr>
              <w:spacing w:after="0" w:line="240" w:lineRule="auto"/>
              <w:jc w:val="both"/>
              <w:rPr>
                <w:rFonts w:eastAsia="Times New Roman"/>
                <w:b/>
                <w:bCs/>
                <w:spacing w:val="0"/>
                <w:sz w:val="18"/>
                <w:szCs w:val="18"/>
                <w:lang w:val="es-ES"/>
              </w:rPr>
            </w:pPr>
            <w:r w:rsidRPr="00232EBB">
              <w:rPr>
                <w:rFonts w:eastAsia="Calibri"/>
                <w:b/>
                <w:bCs/>
                <w:spacing w:val="0"/>
                <w:sz w:val="18"/>
                <w:szCs w:val="18"/>
                <w:lang w:val="es-DO"/>
              </w:rPr>
              <w:t>Producto 7333:</w:t>
            </w:r>
            <w:r w:rsidRPr="00232EBB">
              <w:rPr>
                <w:rFonts w:eastAsia="Calibri"/>
                <w:spacing w:val="0"/>
                <w:sz w:val="18"/>
                <w:szCs w:val="18"/>
                <w:lang w:val="es-DO"/>
              </w:rPr>
              <w:t xml:space="preserve"> Fiscalización de Registro del Sistema Único de Información y Recaudo</w:t>
            </w:r>
          </w:p>
        </w:tc>
        <w:tc>
          <w:tcPr>
            <w:tcW w:w="1059" w:type="dxa"/>
            <w:tcBorders>
              <w:top w:val="nil"/>
              <w:left w:val="nil"/>
              <w:bottom w:val="single" w:sz="8" w:space="0" w:color="auto"/>
              <w:right w:val="single" w:sz="8" w:space="0" w:color="auto"/>
            </w:tcBorders>
            <w:shd w:val="clear" w:color="000000" w:fill="FFFFFF"/>
            <w:vAlign w:val="center"/>
            <w:hideMark/>
          </w:tcPr>
          <w:p w14:paraId="546FFC6D" w14:textId="77777777" w:rsidR="006E49B1" w:rsidRPr="00232EBB" w:rsidRDefault="006E49B1" w:rsidP="00E2462C">
            <w:pPr>
              <w:spacing w:after="0" w:line="240" w:lineRule="auto"/>
              <w:jc w:val="center"/>
              <w:rPr>
                <w:rFonts w:eastAsia="Times New Roman"/>
                <w:spacing w:val="0"/>
                <w:sz w:val="18"/>
                <w:szCs w:val="18"/>
              </w:rPr>
            </w:pPr>
            <w:r w:rsidRPr="00232EBB">
              <w:rPr>
                <w:rFonts w:eastAsia="Calibri"/>
                <w:spacing w:val="0"/>
                <w:sz w:val="18"/>
                <w:szCs w:val="18"/>
              </w:rPr>
              <w:t>Logro</w:t>
            </w:r>
          </w:p>
        </w:tc>
        <w:tc>
          <w:tcPr>
            <w:tcW w:w="3690" w:type="dxa"/>
            <w:gridSpan w:val="3"/>
            <w:tcBorders>
              <w:top w:val="single" w:sz="8" w:space="0" w:color="auto"/>
              <w:left w:val="nil"/>
              <w:bottom w:val="single" w:sz="8" w:space="0" w:color="auto"/>
              <w:right w:val="single" w:sz="8" w:space="0" w:color="000000"/>
            </w:tcBorders>
            <w:shd w:val="clear" w:color="000000" w:fill="FFFFFF"/>
            <w:noWrap/>
            <w:vAlign w:val="center"/>
            <w:hideMark/>
          </w:tcPr>
          <w:p w14:paraId="6733BB96" w14:textId="7C7D91F2" w:rsidR="006E49B1" w:rsidRPr="00232EBB" w:rsidRDefault="006E49B1" w:rsidP="00E2462C">
            <w:pPr>
              <w:spacing w:after="0" w:line="240" w:lineRule="auto"/>
              <w:jc w:val="center"/>
              <w:rPr>
                <w:rFonts w:eastAsia="Times New Roman"/>
                <w:spacing w:val="0"/>
                <w:sz w:val="18"/>
                <w:szCs w:val="18"/>
              </w:rPr>
            </w:pPr>
            <w:r w:rsidRPr="00232EBB">
              <w:rPr>
                <w:rFonts w:eastAsia="Times New Roman"/>
                <w:spacing w:val="0"/>
                <w:sz w:val="18"/>
                <w:szCs w:val="18"/>
              </w:rPr>
              <w:t>392</w:t>
            </w:r>
          </w:p>
        </w:tc>
        <w:tc>
          <w:tcPr>
            <w:tcW w:w="4410" w:type="dxa"/>
            <w:gridSpan w:val="3"/>
            <w:tcBorders>
              <w:top w:val="single" w:sz="8" w:space="0" w:color="auto"/>
              <w:left w:val="nil"/>
              <w:bottom w:val="single" w:sz="8" w:space="0" w:color="auto"/>
              <w:right w:val="single" w:sz="8" w:space="0" w:color="000000"/>
            </w:tcBorders>
            <w:shd w:val="clear" w:color="000000" w:fill="FFFFFF"/>
            <w:noWrap/>
            <w:vAlign w:val="center"/>
            <w:hideMark/>
          </w:tcPr>
          <w:p w14:paraId="46B0491A" w14:textId="6A735A6B" w:rsidR="006E49B1" w:rsidRPr="00232EBB" w:rsidRDefault="006E49B1" w:rsidP="00E2462C">
            <w:pPr>
              <w:spacing w:after="0" w:line="240" w:lineRule="auto"/>
              <w:jc w:val="center"/>
              <w:rPr>
                <w:rFonts w:eastAsia="Times New Roman"/>
                <w:spacing w:val="0"/>
                <w:sz w:val="18"/>
                <w:szCs w:val="18"/>
              </w:rPr>
            </w:pPr>
            <w:r w:rsidRPr="00232EBB">
              <w:rPr>
                <w:rFonts w:eastAsia="Times New Roman"/>
                <w:spacing w:val="0"/>
                <w:sz w:val="18"/>
                <w:szCs w:val="18"/>
              </w:rPr>
              <w:t>320</w:t>
            </w:r>
          </w:p>
        </w:tc>
      </w:tr>
      <w:tr w:rsidR="006E49B1" w:rsidRPr="00232EBB" w14:paraId="48E776C3" w14:textId="2A83C538" w:rsidTr="006E49B1">
        <w:trPr>
          <w:trHeight w:val="731"/>
        </w:trPr>
        <w:tc>
          <w:tcPr>
            <w:tcW w:w="2001" w:type="dxa"/>
            <w:vMerge/>
            <w:tcBorders>
              <w:top w:val="nil"/>
              <w:left w:val="single" w:sz="8" w:space="0" w:color="auto"/>
              <w:bottom w:val="single" w:sz="8" w:space="0" w:color="000000"/>
              <w:right w:val="single" w:sz="8" w:space="0" w:color="auto"/>
            </w:tcBorders>
            <w:vAlign w:val="center"/>
            <w:hideMark/>
          </w:tcPr>
          <w:p w14:paraId="08880532" w14:textId="77777777" w:rsidR="006E49B1" w:rsidRPr="00232EBB" w:rsidRDefault="006E49B1" w:rsidP="00E2462C">
            <w:pPr>
              <w:spacing w:after="0" w:line="240" w:lineRule="auto"/>
              <w:rPr>
                <w:rFonts w:eastAsia="Times New Roman"/>
                <w:b/>
                <w:bCs/>
                <w:spacing w:val="0"/>
                <w:sz w:val="18"/>
                <w:szCs w:val="18"/>
              </w:rPr>
            </w:pPr>
          </w:p>
        </w:tc>
        <w:tc>
          <w:tcPr>
            <w:tcW w:w="1059" w:type="dxa"/>
            <w:tcBorders>
              <w:top w:val="nil"/>
              <w:left w:val="nil"/>
              <w:bottom w:val="single" w:sz="8" w:space="0" w:color="auto"/>
              <w:right w:val="single" w:sz="8" w:space="0" w:color="auto"/>
            </w:tcBorders>
            <w:shd w:val="clear" w:color="000000" w:fill="FFFFFF"/>
            <w:vAlign w:val="center"/>
            <w:hideMark/>
          </w:tcPr>
          <w:p w14:paraId="653C1405" w14:textId="7C849155" w:rsidR="006E49B1" w:rsidRPr="00232EBB" w:rsidRDefault="006E49B1" w:rsidP="00E2462C">
            <w:pPr>
              <w:spacing w:after="0" w:line="240" w:lineRule="auto"/>
              <w:jc w:val="center"/>
              <w:rPr>
                <w:rFonts w:eastAsia="Times New Roman"/>
                <w:spacing w:val="0"/>
                <w:sz w:val="18"/>
                <w:szCs w:val="18"/>
              </w:rPr>
            </w:pPr>
            <w:r w:rsidRPr="00232EBB">
              <w:rPr>
                <w:rFonts w:eastAsia="Calibri"/>
                <w:spacing w:val="0"/>
                <w:sz w:val="18"/>
                <w:szCs w:val="18"/>
              </w:rPr>
              <w:t>Inversión</w:t>
            </w:r>
          </w:p>
        </w:tc>
        <w:tc>
          <w:tcPr>
            <w:tcW w:w="1260" w:type="dxa"/>
            <w:tcBorders>
              <w:top w:val="nil"/>
              <w:left w:val="nil"/>
              <w:bottom w:val="single" w:sz="8" w:space="0" w:color="auto"/>
              <w:right w:val="single" w:sz="8" w:space="0" w:color="auto"/>
            </w:tcBorders>
            <w:shd w:val="clear" w:color="000000" w:fill="FFFFFF"/>
            <w:noWrap/>
            <w:vAlign w:val="center"/>
            <w:hideMark/>
          </w:tcPr>
          <w:p w14:paraId="4CD9013F" w14:textId="51673231" w:rsidR="006E49B1" w:rsidRPr="00232EBB" w:rsidRDefault="006E49B1" w:rsidP="00E2462C">
            <w:pPr>
              <w:spacing w:after="0" w:line="240" w:lineRule="auto"/>
              <w:jc w:val="center"/>
              <w:rPr>
                <w:rFonts w:eastAsia="Times New Roman"/>
                <w:spacing w:val="0"/>
                <w:sz w:val="18"/>
                <w:szCs w:val="18"/>
              </w:rPr>
            </w:pPr>
            <w:r w:rsidRPr="00232EBB">
              <w:rPr>
                <w:rFonts w:eastAsia="Calibri"/>
                <w:spacing w:val="0"/>
                <w:sz w:val="18"/>
                <w:szCs w:val="18"/>
              </w:rPr>
              <w:t>6,705,879.05</w:t>
            </w:r>
          </w:p>
        </w:tc>
        <w:tc>
          <w:tcPr>
            <w:tcW w:w="1260" w:type="dxa"/>
            <w:tcBorders>
              <w:top w:val="nil"/>
              <w:left w:val="nil"/>
              <w:bottom w:val="single" w:sz="8" w:space="0" w:color="auto"/>
              <w:right w:val="single" w:sz="8" w:space="0" w:color="auto"/>
            </w:tcBorders>
            <w:shd w:val="clear" w:color="000000" w:fill="FFFFFF"/>
            <w:noWrap/>
            <w:vAlign w:val="center"/>
            <w:hideMark/>
          </w:tcPr>
          <w:p w14:paraId="3C11AA46" w14:textId="26DD9EE6" w:rsidR="006E49B1" w:rsidRPr="00232EBB" w:rsidRDefault="006E49B1" w:rsidP="00E2462C">
            <w:pPr>
              <w:spacing w:after="0" w:line="240" w:lineRule="auto"/>
              <w:jc w:val="center"/>
              <w:rPr>
                <w:rFonts w:eastAsia="Times New Roman"/>
                <w:spacing w:val="0"/>
                <w:sz w:val="18"/>
                <w:szCs w:val="18"/>
              </w:rPr>
            </w:pPr>
            <w:r w:rsidRPr="00232EBB">
              <w:rPr>
                <w:rFonts w:eastAsia="Times New Roman"/>
                <w:spacing w:val="0"/>
                <w:sz w:val="18"/>
                <w:szCs w:val="18"/>
              </w:rPr>
              <w:t>6,767,527.56</w:t>
            </w:r>
          </w:p>
        </w:tc>
        <w:tc>
          <w:tcPr>
            <w:tcW w:w="1170" w:type="dxa"/>
            <w:tcBorders>
              <w:top w:val="nil"/>
              <w:left w:val="nil"/>
              <w:bottom w:val="single" w:sz="8" w:space="0" w:color="auto"/>
              <w:right w:val="single" w:sz="8" w:space="0" w:color="auto"/>
            </w:tcBorders>
            <w:shd w:val="clear" w:color="000000" w:fill="FFFFFF"/>
            <w:noWrap/>
            <w:vAlign w:val="center"/>
            <w:hideMark/>
          </w:tcPr>
          <w:p w14:paraId="0CBE17D9" w14:textId="7D1AE542" w:rsidR="006E49B1" w:rsidRPr="00232EBB" w:rsidRDefault="006E49B1" w:rsidP="00E2462C">
            <w:pPr>
              <w:spacing w:after="0" w:line="240" w:lineRule="auto"/>
              <w:jc w:val="center"/>
              <w:rPr>
                <w:rFonts w:eastAsia="Times New Roman"/>
                <w:spacing w:val="0"/>
                <w:sz w:val="18"/>
                <w:szCs w:val="18"/>
              </w:rPr>
            </w:pPr>
            <w:r w:rsidRPr="00232EBB">
              <w:rPr>
                <w:rFonts w:eastAsia="Times New Roman"/>
                <w:spacing w:val="0"/>
                <w:sz w:val="18"/>
                <w:szCs w:val="18"/>
              </w:rPr>
              <w:t>6,886,326.26</w:t>
            </w:r>
          </w:p>
        </w:tc>
        <w:tc>
          <w:tcPr>
            <w:tcW w:w="1440" w:type="dxa"/>
            <w:tcBorders>
              <w:top w:val="nil"/>
              <w:left w:val="nil"/>
              <w:bottom w:val="single" w:sz="8" w:space="0" w:color="auto"/>
              <w:right w:val="single" w:sz="8" w:space="0" w:color="auto"/>
            </w:tcBorders>
            <w:shd w:val="clear" w:color="000000" w:fill="FFFFFF"/>
            <w:noWrap/>
            <w:vAlign w:val="center"/>
            <w:hideMark/>
          </w:tcPr>
          <w:p w14:paraId="73A5A031" w14:textId="48262887" w:rsidR="006E49B1" w:rsidRPr="00232EBB" w:rsidRDefault="006E49B1" w:rsidP="00E2462C">
            <w:pPr>
              <w:spacing w:after="0" w:line="240" w:lineRule="auto"/>
              <w:jc w:val="center"/>
              <w:rPr>
                <w:rFonts w:eastAsia="Times New Roman"/>
                <w:spacing w:val="0"/>
                <w:sz w:val="18"/>
                <w:szCs w:val="18"/>
              </w:rPr>
            </w:pPr>
            <w:r w:rsidRPr="00232EBB">
              <w:rPr>
                <w:rFonts w:eastAsia="Times New Roman"/>
                <w:spacing w:val="0"/>
                <w:sz w:val="18"/>
                <w:szCs w:val="18"/>
              </w:rPr>
              <w:t>12,565,920.68</w:t>
            </w:r>
          </w:p>
        </w:tc>
        <w:tc>
          <w:tcPr>
            <w:tcW w:w="1350" w:type="dxa"/>
            <w:tcBorders>
              <w:top w:val="nil"/>
              <w:left w:val="nil"/>
              <w:bottom w:val="single" w:sz="8" w:space="0" w:color="auto"/>
              <w:right w:val="single" w:sz="8" w:space="0" w:color="auto"/>
            </w:tcBorders>
            <w:shd w:val="clear" w:color="000000" w:fill="FFFFFF"/>
            <w:noWrap/>
            <w:vAlign w:val="center"/>
            <w:hideMark/>
          </w:tcPr>
          <w:p w14:paraId="33FF7921" w14:textId="75E6F811" w:rsidR="006E49B1" w:rsidRPr="00232EBB" w:rsidRDefault="006E49B1" w:rsidP="00E2462C">
            <w:pPr>
              <w:spacing w:after="0" w:line="240" w:lineRule="auto"/>
              <w:jc w:val="center"/>
              <w:rPr>
                <w:rFonts w:eastAsia="Times New Roman"/>
                <w:spacing w:val="0"/>
                <w:sz w:val="18"/>
                <w:szCs w:val="18"/>
              </w:rPr>
            </w:pPr>
            <w:r w:rsidRPr="00232EBB">
              <w:rPr>
                <w:rFonts w:eastAsia="Times New Roman"/>
                <w:spacing w:val="0"/>
                <w:sz w:val="18"/>
                <w:szCs w:val="18"/>
              </w:rPr>
              <w:t>6,793,302.06</w:t>
            </w:r>
          </w:p>
        </w:tc>
        <w:tc>
          <w:tcPr>
            <w:tcW w:w="1620" w:type="dxa"/>
            <w:tcBorders>
              <w:top w:val="nil"/>
              <w:left w:val="nil"/>
              <w:bottom w:val="single" w:sz="8" w:space="0" w:color="auto"/>
              <w:right w:val="single" w:sz="8" w:space="0" w:color="auto"/>
            </w:tcBorders>
            <w:shd w:val="clear" w:color="000000" w:fill="FFFFFF"/>
            <w:noWrap/>
            <w:vAlign w:val="center"/>
            <w:hideMark/>
          </w:tcPr>
          <w:p w14:paraId="6AD6AE3E" w14:textId="790BEB2B" w:rsidR="006E49B1" w:rsidRPr="00232EBB" w:rsidRDefault="006E49B1" w:rsidP="00E2462C">
            <w:pPr>
              <w:spacing w:after="0" w:line="240" w:lineRule="auto"/>
              <w:jc w:val="center"/>
              <w:rPr>
                <w:rFonts w:eastAsia="Times New Roman"/>
                <w:spacing w:val="0"/>
                <w:sz w:val="18"/>
                <w:szCs w:val="18"/>
              </w:rPr>
            </w:pPr>
            <w:r w:rsidRPr="00232EBB">
              <w:rPr>
                <w:rFonts w:eastAsia="Times New Roman"/>
                <w:spacing w:val="0"/>
                <w:sz w:val="18"/>
                <w:szCs w:val="18"/>
              </w:rPr>
              <w:t>9,329,362.06</w:t>
            </w:r>
          </w:p>
        </w:tc>
      </w:tr>
      <w:tr w:rsidR="006E49B1" w:rsidRPr="00232EBB" w14:paraId="63507929" w14:textId="3B56AD3C" w:rsidTr="006E49B1">
        <w:trPr>
          <w:trHeight w:val="577"/>
        </w:trPr>
        <w:tc>
          <w:tcPr>
            <w:tcW w:w="2001"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2C3E297" w14:textId="77777777" w:rsidR="006E49B1" w:rsidRPr="00232EBB" w:rsidRDefault="006E49B1" w:rsidP="00E2462C">
            <w:pPr>
              <w:spacing w:after="0" w:line="240" w:lineRule="auto"/>
              <w:jc w:val="both"/>
              <w:rPr>
                <w:rFonts w:eastAsia="Times New Roman"/>
                <w:b/>
                <w:bCs/>
                <w:spacing w:val="0"/>
                <w:sz w:val="18"/>
                <w:szCs w:val="18"/>
                <w:lang w:val="es-ES"/>
              </w:rPr>
            </w:pPr>
            <w:r w:rsidRPr="00232EBB">
              <w:rPr>
                <w:rFonts w:eastAsia="Calibri"/>
                <w:b/>
                <w:bCs/>
                <w:spacing w:val="0"/>
                <w:sz w:val="18"/>
                <w:szCs w:val="18"/>
                <w:lang w:val="es-DO"/>
              </w:rPr>
              <w:t>Producto 7334:</w:t>
            </w:r>
            <w:r w:rsidRPr="00232EBB">
              <w:rPr>
                <w:rFonts w:eastAsia="Calibri"/>
                <w:spacing w:val="0"/>
                <w:sz w:val="18"/>
                <w:szCs w:val="18"/>
                <w:lang w:val="es-DO"/>
              </w:rPr>
              <w:t xml:space="preserve"> Sistema Único de Información y Recaudo con disponibilidad 24/7</w:t>
            </w:r>
          </w:p>
        </w:tc>
        <w:tc>
          <w:tcPr>
            <w:tcW w:w="1059" w:type="dxa"/>
            <w:tcBorders>
              <w:top w:val="nil"/>
              <w:left w:val="nil"/>
              <w:bottom w:val="single" w:sz="8" w:space="0" w:color="auto"/>
              <w:right w:val="single" w:sz="8" w:space="0" w:color="auto"/>
            </w:tcBorders>
            <w:shd w:val="clear" w:color="000000" w:fill="FFFFFF"/>
            <w:vAlign w:val="center"/>
            <w:hideMark/>
          </w:tcPr>
          <w:p w14:paraId="5FD8AD32" w14:textId="77777777" w:rsidR="006E49B1" w:rsidRPr="00232EBB" w:rsidRDefault="006E49B1" w:rsidP="00E2462C">
            <w:pPr>
              <w:spacing w:after="0" w:line="240" w:lineRule="auto"/>
              <w:jc w:val="center"/>
              <w:rPr>
                <w:rFonts w:eastAsia="Times New Roman"/>
                <w:spacing w:val="0"/>
                <w:sz w:val="18"/>
                <w:szCs w:val="18"/>
              </w:rPr>
            </w:pPr>
            <w:r w:rsidRPr="00232EBB">
              <w:rPr>
                <w:rFonts w:eastAsia="Calibri"/>
                <w:spacing w:val="0"/>
                <w:sz w:val="18"/>
                <w:szCs w:val="18"/>
              </w:rPr>
              <w:t>Logro</w:t>
            </w:r>
          </w:p>
        </w:tc>
        <w:tc>
          <w:tcPr>
            <w:tcW w:w="3690" w:type="dxa"/>
            <w:gridSpan w:val="3"/>
            <w:tcBorders>
              <w:top w:val="single" w:sz="8" w:space="0" w:color="auto"/>
              <w:left w:val="nil"/>
              <w:bottom w:val="single" w:sz="8" w:space="0" w:color="auto"/>
              <w:right w:val="single" w:sz="8" w:space="0" w:color="000000"/>
            </w:tcBorders>
            <w:shd w:val="clear" w:color="000000" w:fill="FFFFFF"/>
            <w:noWrap/>
            <w:vAlign w:val="center"/>
            <w:hideMark/>
          </w:tcPr>
          <w:p w14:paraId="16793833" w14:textId="5646753C" w:rsidR="006E49B1" w:rsidRPr="00232EBB" w:rsidRDefault="006E49B1" w:rsidP="00E2462C">
            <w:pPr>
              <w:spacing w:after="0" w:line="240" w:lineRule="auto"/>
              <w:jc w:val="center"/>
              <w:rPr>
                <w:rFonts w:eastAsia="Times New Roman"/>
                <w:spacing w:val="0"/>
                <w:sz w:val="18"/>
                <w:szCs w:val="18"/>
              </w:rPr>
            </w:pPr>
            <w:r w:rsidRPr="00232EBB">
              <w:rPr>
                <w:rFonts w:eastAsia="Times New Roman"/>
                <w:spacing w:val="0"/>
                <w:sz w:val="18"/>
                <w:szCs w:val="18"/>
              </w:rPr>
              <w:t>99%</w:t>
            </w:r>
          </w:p>
        </w:tc>
        <w:tc>
          <w:tcPr>
            <w:tcW w:w="4410" w:type="dxa"/>
            <w:gridSpan w:val="3"/>
            <w:tcBorders>
              <w:top w:val="single" w:sz="8" w:space="0" w:color="auto"/>
              <w:left w:val="nil"/>
              <w:bottom w:val="single" w:sz="8" w:space="0" w:color="auto"/>
              <w:right w:val="single" w:sz="8" w:space="0" w:color="000000"/>
            </w:tcBorders>
            <w:shd w:val="clear" w:color="000000" w:fill="FFFFFF"/>
            <w:noWrap/>
            <w:vAlign w:val="center"/>
            <w:hideMark/>
          </w:tcPr>
          <w:p w14:paraId="436DB89F" w14:textId="4E72CC3A" w:rsidR="006E49B1" w:rsidRPr="00232EBB" w:rsidRDefault="006E49B1" w:rsidP="00E2462C">
            <w:pPr>
              <w:spacing w:after="0" w:line="240" w:lineRule="auto"/>
              <w:jc w:val="center"/>
              <w:rPr>
                <w:rFonts w:eastAsia="Times New Roman"/>
                <w:spacing w:val="0"/>
                <w:sz w:val="18"/>
                <w:szCs w:val="18"/>
              </w:rPr>
            </w:pPr>
            <w:r w:rsidRPr="00232EBB">
              <w:rPr>
                <w:rFonts w:eastAsia="Times New Roman"/>
                <w:spacing w:val="0"/>
                <w:sz w:val="18"/>
                <w:szCs w:val="18"/>
              </w:rPr>
              <w:t>98.51%</w:t>
            </w:r>
          </w:p>
        </w:tc>
      </w:tr>
      <w:tr w:rsidR="006E49B1" w:rsidRPr="00232EBB" w14:paraId="0726EFC5" w14:textId="54C89149" w:rsidTr="006E49B1">
        <w:trPr>
          <w:trHeight w:val="975"/>
        </w:trPr>
        <w:tc>
          <w:tcPr>
            <w:tcW w:w="2001" w:type="dxa"/>
            <w:vMerge/>
            <w:tcBorders>
              <w:top w:val="nil"/>
              <w:left w:val="single" w:sz="8" w:space="0" w:color="auto"/>
              <w:bottom w:val="single" w:sz="8" w:space="0" w:color="000000"/>
              <w:right w:val="single" w:sz="8" w:space="0" w:color="auto"/>
            </w:tcBorders>
            <w:vAlign w:val="center"/>
            <w:hideMark/>
          </w:tcPr>
          <w:p w14:paraId="21450C16" w14:textId="77777777" w:rsidR="006E49B1" w:rsidRPr="00232EBB" w:rsidRDefault="006E49B1" w:rsidP="00E2462C">
            <w:pPr>
              <w:spacing w:after="0" w:line="240" w:lineRule="auto"/>
              <w:rPr>
                <w:rFonts w:eastAsia="Times New Roman"/>
                <w:b/>
                <w:bCs/>
                <w:spacing w:val="0"/>
                <w:sz w:val="18"/>
                <w:szCs w:val="18"/>
              </w:rPr>
            </w:pPr>
          </w:p>
        </w:tc>
        <w:tc>
          <w:tcPr>
            <w:tcW w:w="1059" w:type="dxa"/>
            <w:tcBorders>
              <w:top w:val="nil"/>
              <w:left w:val="nil"/>
              <w:bottom w:val="single" w:sz="8" w:space="0" w:color="auto"/>
              <w:right w:val="single" w:sz="8" w:space="0" w:color="auto"/>
            </w:tcBorders>
            <w:shd w:val="clear" w:color="000000" w:fill="FFFFFF"/>
            <w:vAlign w:val="center"/>
            <w:hideMark/>
          </w:tcPr>
          <w:p w14:paraId="70ED7AEF" w14:textId="04C86092" w:rsidR="006E49B1" w:rsidRPr="00232EBB" w:rsidRDefault="006E49B1" w:rsidP="00E2462C">
            <w:pPr>
              <w:spacing w:after="0" w:line="240" w:lineRule="auto"/>
              <w:jc w:val="center"/>
              <w:rPr>
                <w:rFonts w:eastAsia="Times New Roman"/>
                <w:spacing w:val="0"/>
                <w:sz w:val="18"/>
                <w:szCs w:val="18"/>
              </w:rPr>
            </w:pPr>
            <w:r w:rsidRPr="00232EBB">
              <w:rPr>
                <w:rFonts w:eastAsia="Calibri"/>
                <w:spacing w:val="0"/>
                <w:sz w:val="18"/>
                <w:szCs w:val="18"/>
              </w:rPr>
              <w:t>Inversión</w:t>
            </w:r>
          </w:p>
        </w:tc>
        <w:tc>
          <w:tcPr>
            <w:tcW w:w="1260" w:type="dxa"/>
            <w:tcBorders>
              <w:top w:val="nil"/>
              <w:left w:val="nil"/>
              <w:bottom w:val="single" w:sz="8" w:space="0" w:color="auto"/>
              <w:right w:val="single" w:sz="8" w:space="0" w:color="auto"/>
            </w:tcBorders>
            <w:shd w:val="clear" w:color="000000" w:fill="FFFFFF"/>
            <w:noWrap/>
            <w:vAlign w:val="center"/>
            <w:hideMark/>
          </w:tcPr>
          <w:p w14:paraId="619225F2" w14:textId="3D16B8A0" w:rsidR="006E49B1" w:rsidRPr="00232EBB" w:rsidRDefault="006E49B1" w:rsidP="00E2462C">
            <w:pPr>
              <w:spacing w:after="0" w:line="240" w:lineRule="auto"/>
              <w:jc w:val="center"/>
              <w:rPr>
                <w:rFonts w:eastAsia="Times New Roman"/>
                <w:spacing w:val="0"/>
                <w:sz w:val="18"/>
                <w:szCs w:val="18"/>
              </w:rPr>
            </w:pPr>
            <w:r w:rsidRPr="00232EBB">
              <w:rPr>
                <w:rFonts w:eastAsia="Times New Roman"/>
                <w:spacing w:val="0"/>
                <w:sz w:val="18"/>
                <w:szCs w:val="18"/>
              </w:rPr>
              <w:t>6,947,241,.87</w:t>
            </w:r>
          </w:p>
        </w:tc>
        <w:tc>
          <w:tcPr>
            <w:tcW w:w="1260" w:type="dxa"/>
            <w:tcBorders>
              <w:top w:val="nil"/>
              <w:left w:val="nil"/>
              <w:bottom w:val="single" w:sz="8" w:space="0" w:color="auto"/>
              <w:right w:val="single" w:sz="8" w:space="0" w:color="auto"/>
            </w:tcBorders>
            <w:shd w:val="clear" w:color="000000" w:fill="FFFFFF"/>
            <w:noWrap/>
            <w:vAlign w:val="center"/>
            <w:hideMark/>
          </w:tcPr>
          <w:p w14:paraId="3EC6B052" w14:textId="2C8EB91C" w:rsidR="006E49B1" w:rsidRPr="00232EBB" w:rsidRDefault="006E49B1" w:rsidP="00E2462C">
            <w:pPr>
              <w:spacing w:after="0" w:line="240" w:lineRule="auto"/>
              <w:jc w:val="center"/>
              <w:rPr>
                <w:rFonts w:eastAsia="Times New Roman"/>
                <w:spacing w:val="0"/>
                <w:sz w:val="18"/>
                <w:szCs w:val="18"/>
              </w:rPr>
            </w:pPr>
            <w:r w:rsidRPr="00232EBB">
              <w:rPr>
                <w:rFonts w:eastAsia="Times New Roman"/>
                <w:spacing w:val="0"/>
                <w:sz w:val="18"/>
                <w:szCs w:val="18"/>
              </w:rPr>
              <w:t>7,062,283.38</w:t>
            </w:r>
          </w:p>
        </w:tc>
        <w:tc>
          <w:tcPr>
            <w:tcW w:w="1170" w:type="dxa"/>
            <w:tcBorders>
              <w:top w:val="nil"/>
              <w:left w:val="nil"/>
              <w:bottom w:val="single" w:sz="8" w:space="0" w:color="auto"/>
              <w:right w:val="single" w:sz="8" w:space="0" w:color="auto"/>
            </w:tcBorders>
            <w:shd w:val="clear" w:color="000000" w:fill="FFFFFF"/>
            <w:noWrap/>
            <w:vAlign w:val="center"/>
            <w:hideMark/>
          </w:tcPr>
          <w:p w14:paraId="676719D8" w14:textId="20DB1F83" w:rsidR="006E49B1" w:rsidRPr="00232EBB" w:rsidRDefault="006E49B1" w:rsidP="00E2462C">
            <w:pPr>
              <w:spacing w:after="0" w:line="240" w:lineRule="auto"/>
              <w:jc w:val="center"/>
              <w:rPr>
                <w:rFonts w:eastAsia="Times New Roman"/>
                <w:spacing w:val="0"/>
                <w:sz w:val="18"/>
                <w:szCs w:val="18"/>
              </w:rPr>
            </w:pPr>
            <w:r w:rsidRPr="00232EBB">
              <w:rPr>
                <w:rFonts w:eastAsia="Times New Roman"/>
                <w:spacing w:val="0"/>
                <w:sz w:val="18"/>
                <w:szCs w:val="18"/>
              </w:rPr>
              <w:t>7,107,959.38</w:t>
            </w:r>
          </w:p>
        </w:tc>
        <w:tc>
          <w:tcPr>
            <w:tcW w:w="1440" w:type="dxa"/>
            <w:tcBorders>
              <w:top w:val="nil"/>
              <w:left w:val="nil"/>
              <w:bottom w:val="single" w:sz="8" w:space="0" w:color="auto"/>
              <w:right w:val="single" w:sz="8" w:space="0" w:color="auto"/>
            </w:tcBorders>
            <w:shd w:val="clear" w:color="000000" w:fill="FFFFFF"/>
            <w:noWrap/>
            <w:vAlign w:val="center"/>
            <w:hideMark/>
          </w:tcPr>
          <w:p w14:paraId="79576E6C" w14:textId="3E3C3FAF" w:rsidR="006E49B1" w:rsidRPr="00232EBB" w:rsidRDefault="006E49B1" w:rsidP="00E2462C">
            <w:pPr>
              <w:spacing w:after="0" w:line="240" w:lineRule="auto"/>
              <w:jc w:val="center"/>
              <w:rPr>
                <w:rFonts w:eastAsia="Times New Roman"/>
                <w:spacing w:val="0"/>
                <w:sz w:val="18"/>
                <w:szCs w:val="18"/>
              </w:rPr>
            </w:pPr>
            <w:r w:rsidRPr="00232EBB">
              <w:rPr>
                <w:rFonts w:eastAsia="Times New Roman"/>
                <w:spacing w:val="0"/>
                <w:sz w:val="18"/>
                <w:szCs w:val="18"/>
              </w:rPr>
              <w:t>13,162,136.51</w:t>
            </w:r>
          </w:p>
        </w:tc>
        <w:tc>
          <w:tcPr>
            <w:tcW w:w="1350" w:type="dxa"/>
            <w:tcBorders>
              <w:top w:val="nil"/>
              <w:left w:val="nil"/>
              <w:bottom w:val="single" w:sz="8" w:space="0" w:color="auto"/>
              <w:right w:val="single" w:sz="8" w:space="0" w:color="auto"/>
            </w:tcBorders>
            <w:shd w:val="clear" w:color="000000" w:fill="FFFFFF"/>
            <w:noWrap/>
            <w:vAlign w:val="center"/>
            <w:hideMark/>
          </w:tcPr>
          <w:p w14:paraId="2A342836" w14:textId="7FE110FB" w:rsidR="006E49B1" w:rsidRPr="00232EBB" w:rsidRDefault="006E49B1" w:rsidP="00E2462C">
            <w:pPr>
              <w:spacing w:after="0" w:line="240" w:lineRule="auto"/>
              <w:jc w:val="center"/>
              <w:rPr>
                <w:rFonts w:eastAsia="Times New Roman"/>
                <w:spacing w:val="0"/>
                <w:sz w:val="18"/>
                <w:szCs w:val="18"/>
              </w:rPr>
            </w:pPr>
            <w:r w:rsidRPr="00232EBB">
              <w:rPr>
                <w:rFonts w:eastAsia="Times New Roman"/>
                <w:spacing w:val="0"/>
                <w:sz w:val="18"/>
                <w:szCs w:val="18"/>
              </w:rPr>
              <w:t>7,007,103.20</w:t>
            </w:r>
          </w:p>
        </w:tc>
        <w:tc>
          <w:tcPr>
            <w:tcW w:w="1620" w:type="dxa"/>
            <w:tcBorders>
              <w:top w:val="nil"/>
              <w:left w:val="nil"/>
              <w:bottom w:val="single" w:sz="8" w:space="0" w:color="auto"/>
              <w:right w:val="single" w:sz="8" w:space="0" w:color="auto"/>
            </w:tcBorders>
            <w:shd w:val="clear" w:color="000000" w:fill="FFFFFF"/>
            <w:noWrap/>
            <w:vAlign w:val="center"/>
            <w:hideMark/>
          </w:tcPr>
          <w:p w14:paraId="2DF76693" w14:textId="61FF9C98" w:rsidR="006E49B1" w:rsidRPr="00232EBB" w:rsidRDefault="006E49B1" w:rsidP="00E2462C">
            <w:pPr>
              <w:spacing w:after="0" w:line="240" w:lineRule="auto"/>
              <w:jc w:val="center"/>
              <w:rPr>
                <w:rFonts w:eastAsia="Times New Roman"/>
                <w:spacing w:val="0"/>
                <w:sz w:val="18"/>
                <w:szCs w:val="18"/>
              </w:rPr>
            </w:pPr>
            <w:r w:rsidRPr="00232EBB">
              <w:rPr>
                <w:rFonts w:eastAsia="Times New Roman"/>
                <w:spacing w:val="0"/>
                <w:sz w:val="18"/>
                <w:szCs w:val="18"/>
              </w:rPr>
              <w:t>9,004,405.69</w:t>
            </w:r>
          </w:p>
        </w:tc>
      </w:tr>
      <w:tr w:rsidR="006E49B1" w:rsidRPr="00232EBB" w14:paraId="690BAD9E" w14:textId="517DB0D9" w:rsidTr="006E49B1">
        <w:trPr>
          <w:trHeight w:val="397"/>
        </w:trPr>
        <w:tc>
          <w:tcPr>
            <w:tcW w:w="2001"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BC90E49" w14:textId="77777777" w:rsidR="006E49B1" w:rsidRPr="00232EBB" w:rsidRDefault="006E49B1" w:rsidP="00E2462C">
            <w:pPr>
              <w:spacing w:after="0" w:line="240" w:lineRule="auto"/>
              <w:jc w:val="both"/>
              <w:rPr>
                <w:rFonts w:eastAsia="Times New Roman"/>
                <w:b/>
                <w:bCs/>
                <w:spacing w:val="0"/>
                <w:sz w:val="18"/>
                <w:szCs w:val="18"/>
                <w:lang w:val="es-ES"/>
              </w:rPr>
            </w:pPr>
            <w:r w:rsidRPr="00232EBB">
              <w:rPr>
                <w:rFonts w:eastAsia="Calibri"/>
                <w:b/>
                <w:bCs/>
                <w:spacing w:val="0"/>
                <w:sz w:val="18"/>
                <w:szCs w:val="18"/>
                <w:lang w:val="es-DO"/>
              </w:rPr>
              <w:t>Producto 7335:</w:t>
            </w:r>
            <w:r w:rsidRPr="00232EBB">
              <w:rPr>
                <w:rFonts w:eastAsia="Calibri"/>
                <w:spacing w:val="0"/>
                <w:sz w:val="18"/>
                <w:szCs w:val="18"/>
                <w:lang w:val="es-DO"/>
              </w:rPr>
              <w:t xml:space="preserve"> Estado Dominicano con Gestión Oportuna de los Aportes a la Seguridad Social</w:t>
            </w:r>
          </w:p>
        </w:tc>
        <w:tc>
          <w:tcPr>
            <w:tcW w:w="1059" w:type="dxa"/>
            <w:tcBorders>
              <w:top w:val="nil"/>
              <w:left w:val="nil"/>
              <w:bottom w:val="single" w:sz="8" w:space="0" w:color="auto"/>
              <w:right w:val="single" w:sz="8" w:space="0" w:color="auto"/>
            </w:tcBorders>
            <w:shd w:val="clear" w:color="000000" w:fill="FFFFFF"/>
            <w:vAlign w:val="center"/>
            <w:hideMark/>
          </w:tcPr>
          <w:p w14:paraId="6B360FC9" w14:textId="77777777" w:rsidR="006E49B1" w:rsidRPr="00232EBB" w:rsidRDefault="006E49B1" w:rsidP="00E2462C">
            <w:pPr>
              <w:spacing w:after="0" w:line="240" w:lineRule="auto"/>
              <w:jc w:val="center"/>
              <w:rPr>
                <w:rFonts w:eastAsia="Times New Roman"/>
                <w:spacing w:val="0"/>
                <w:sz w:val="18"/>
                <w:szCs w:val="18"/>
              </w:rPr>
            </w:pPr>
            <w:r w:rsidRPr="00232EBB">
              <w:rPr>
                <w:rFonts w:eastAsia="Calibri"/>
                <w:spacing w:val="0"/>
                <w:sz w:val="18"/>
                <w:szCs w:val="18"/>
              </w:rPr>
              <w:t>Logro</w:t>
            </w:r>
          </w:p>
        </w:tc>
        <w:tc>
          <w:tcPr>
            <w:tcW w:w="3690" w:type="dxa"/>
            <w:gridSpan w:val="3"/>
            <w:tcBorders>
              <w:top w:val="single" w:sz="8" w:space="0" w:color="auto"/>
              <w:left w:val="nil"/>
              <w:bottom w:val="single" w:sz="8" w:space="0" w:color="auto"/>
              <w:right w:val="single" w:sz="8" w:space="0" w:color="000000"/>
            </w:tcBorders>
            <w:shd w:val="clear" w:color="000000" w:fill="FFFFFF"/>
            <w:noWrap/>
            <w:vAlign w:val="center"/>
            <w:hideMark/>
          </w:tcPr>
          <w:p w14:paraId="1408893C" w14:textId="00585A35" w:rsidR="006E49B1" w:rsidRPr="00232EBB" w:rsidRDefault="006E49B1" w:rsidP="00E2462C">
            <w:pPr>
              <w:spacing w:after="0" w:line="240" w:lineRule="auto"/>
              <w:jc w:val="center"/>
              <w:rPr>
                <w:rFonts w:eastAsia="Times New Roman"/>
                <w:spacing w:val="0"/>
                <w:sz w:val="18"/>
                <w:szCs w:val="18"/>
              </w:rPr>
            </w:pPr>
            <w:r w:rsidRPr="00232EBB">
              <w:rPr>
                <w:rFonts w:eastAsia="Times New Roman"/>
                <w:spacing w:val="0"/>
                <w:sz w:val="18"/>
                <w:szCs w:val="18"/>
              </w:rPr>
              <w:t>98.78%</w:t>
            </w:r>
          </w:p>
        </w:tc>
        <w:tc>
          <w:tcPr>
            <w:tcW w:w="4410" w:type="dxa"/>
            <w:gridSpan w:val="3"/>
            <w:tcBorders>
              <w:top w:val="single" w:sz="8" w:space="0" w:color="auto"/>
              <w:left w:val="nil"/>
              <w:bottom w:val="single" w:sz="8" w:space="0" w:color="auto"/>
              <w:right w:val="single" w:sz="8" w:space="0" w:color="000000"/>
            </w:tcBorders>
            <w:shd w:val="clear" w:color="000000" w:fill="FFFFFF"/>
            <w:noWrap/>
            <w:vAlign w:val="center"/>
            <w:hideMark/>
          </w:tcPr>
          <w:p w14:paraId="268575FA" w14:textId="6BD7FF56" w:rsidR="006E49B1" w:rsidRPr="00232EBB" w:rsidRDefault="006E49B1" w:rsidP="00E2462C">
            <w:pPr>
              <w:spacing w:after="0" w:line="240" w:lineRule="auto"/>
              <w:jc w:val="center"/>
              <w:rPr>
                <w:rFonts w:eastAsia="Times New Roman"/>
                <w:spacing w:val="0"/>
                <w:sz w:val="18"/>
                <w:szCs w:val="18"/>
              </w:rPr>
            </w:pPr>
            <w:r w:rsidRPr="00232EBB">
              <w:rPr>
                <w:rFonts w:eastAsia="Times New Roman"/>
                <w:spacing w:val="0"/>
                <w:sz w:val="18"/>
                <w:szCs w:val="18"/>
              </w:rPr>
              <w:t>99%</w:t>
            </w:r>
          </w:p>
        </w:tc>
      </w:tr>
      <w:tr w:rsidR="006E49B1" w:rsidRPr="00232EBB" w14:paraId="088CC762" w14:textId="4D7FAACB" w:rsidTr="006E49B1">
        <w:trPr>
          <w:trHeight w:val="737"/>
        </w:trPr>
        <w:tc>
          <w:tcPr>
            <w:tcW w:w="2001" w:type="dxa"/>
            <w:vMerge/>
            <w:tcBorders>
              <w:top w:val="nil"/>
              <w:left w:val="single" w:sz="8" w:space="0" w:color="auto"/>
              <w:bottom w:val="single" w:sz="8" w:space="0" w:color="000000"/>
              <w:right w:val="single" w:sz="8" w:space="0" w:color="auto"/>
            </w:tcBorders>
            <w:vAlign w:val="center"/>
            <w:hideMark/>
          </w:tcPr>
          <w:p w14:paraId="00107047" w14:textId="77777777" w:rsidR="006E49B1" w:rsidRPr="00232EBB" w:rsidRDefault="006E49B1" w:rsidP="00E2462C">
            <w:pPr>
              <w:spacing w:after="0" w:line="240" w:lineRule="auto"/>
              <w:rPr>
                <w:rFonts w:eastAsia="Times New Roman"/>
                <w:b/>
                <w:bCs/>
                <w:spacing w:val="0"/>
                <w:sz w:val="18"/>
                <w:szCs w:val="18"/>
              </w:rPr>
            </w:pPr>
          </w:p>
        </w:tc>
        <w:tc>
          <w:tcPr>
            <w:tcW w:w="1059"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1AFFA29" w14:textId="162D69BA" w:rsidR="006E49B1" w:rsidRPr="00232EBB" w:rsidRDefault="006E49B1" w:rsidP="00E2462C">
            <w:pPr>
              <w:spacing w:after="0" w:line="240" w:lineRule="auto"/>
              <w:jc w:val="center"/>
              <w:rPr>
                <w:rFonts w:eastAsia="Times New Roman"/>
                <w:spacing w:val="0"/>
                <w:sz w:val="18"/>
                <w:szCs w:val="18"/>
              </w:rPr>
            </w:pPr>
            <w:r w:rsidRPr="00232EBB">
              <w:rPr>
                <w:rFonts w:eastAsia="Calibri"/>
                <w:spacing w:val="0"/>
                <w:sz w:val="18"/>
                <w:szCs w:val="18"/>
              </w:rPr>
              <w:t>Inversión</w:t>
            </w:r>
          </w:p>
        </w:tc>
        <w:tc>
          <w:tcPr>
            <w:tcW w:w="1260"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271CAA60" w14:textId="00F8D9E5" w:rsidR="006E49B1" w:rsidRPr="00232EBB" w:rsidRDefault="006E49B1" w:rsidP="00E2462C">
            <w:pPr>
              <w:spacing w:after="0" w:line="240" w:lineRule="auto"/>
              <w:jc w:val="center"/>
              <w:rPr>
                <w:rFonts w:eastAsia="Times New Roman"/>
                <w:spacing w:val="0"/>
                <w:sz w:val="18"/>
                <w:szCs w:val="18"/>
              </w:rPr>
            </w:pPr>
            <w:r w:rsidRPr="00232EBB">
              <w:rPr>
                <w:rFonts w:eastAsia="Calibri"/>
                <w:spacing w:val="0"/>
                <w:sz w:val="18"/>
                <w:szCs w:val="18"/>
              </w:rPr>
              <w:t>2,803,087.44</w:t>
            </w:r>
          </w:p>
        </w:tc>
        <w:tc>
          <w:tcPr>
            <w:tcW w:w="1260"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11C0DDD8" w14:textId="36A8DE32" w:rsidR="006E49B1" w:rsidRPr="00232EBB" w:rsidRDefault="006E49B1" w:rsidP="00E2462C">
            <w:pPr>
              <w:spacing w:after="0" w:line="240" w:lineRule="auto"/>
              <w:jc w:val="center"/>
              <w:rPr>
                <w:rFonts w:eastAsia="Times New Roman"/>
                <w:spacing w:val="0"/>
                <w:sz w:val="18"/>
                <w:szCs w:val="18"/>
              </w:rPr>
            </w:pPr>
            <w:r w:rsidRPr="00232EBB">
              <w:rPr>
                <w:rFonts w:eastAsia="Times New Roman"/>
                <w:spacing w:val="0"/>
                <w:sz w:val="18"/>
                <w:szCs w:val="18"/>
              </w:rPr>
              <w:t>2,803,087.44</w:t>
            </w:r>
          </w:p>
        </w:tc>
        <w:tc>
          <w:tcPr>
            <w:tcW w:w="1170"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2F0B54E0" w14:textId="727DB926" w:rsidR="006E49B1" w:rsidRPr="00232EBB" w:rsidRDefault="006E49B1" w:rsidP="00E2462C">
            <w:pPr>
              <w:spacing w:after="0" w:line="240" w:lineRule="auto"/>
              <w:jc w:val="center"/>
              <w:rPr>
                <w:rFonts w:eastAsia="Times New Roman"/>
                <w:spacing w:val="0"/>
                <w:sz w:val="18"/>
                <w:szCs w:val="18"/>
              </w:rPr>
            </w:pPr>
            <w:r w:rsidRPr="00232EBB">
              <w:rPr>
                <w:rFonts w:eastAsia="Times New Roman"/>
                <w:spacing w:val="0"/>
                <w:sz w:val="18"/>
                <w:szCs w:val="18"/>
              </w:rPr>
              <w:t>2,789,235.49</w:t>
            </w:r>
          </w:p>
        </w:tc>
        <w:tc>
          <w:tcPr>
            <w:tcW w:w="1440"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60C3F20F" w14:textId="56F363B4" w:rsidR="006E49B1" w:rsidRPr="00232EBB" w:rsidRDefault="006E49B1" w:rsidP="00E2462C">
            <w:pPr>
              <w:spacing w:after="0" w:line="240" w:lineRule="auto"/>
              <w:jc w:val="center"/>
              <w:rPr>
                <w:rFonts w:eastAsia="Times New Roman"/>
                <w:spacing w:val="0"/>
                <w:sz w:val="18"/>
                <w:szCs w:val="18"/>
              </w:rPr>
            </w:pPr>
            <w:r w:rsidRPr="00232EBB">
              <w:rPr>
                <w:rFonts w:eastAsia="Times New Roman"/>
                <w:spacing w:val="0"/>
                <w:sz w:val="18"/>
                <w:szCs w:val="18"/>
              </w:rPr>
              <w:t>2,789,235.49</w:t>
            </w:r>
          </w:p>
        </w:tc>
        <w:tc>
          <w:tcPr>
            <w:tcW w:w="1350"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582A1DBD" w14:textId="49F608E7" w:rsidR="006E49B1" w:rsidRPr="00232EBB" w:rsidRDefault="006E49B1" w:rsidP="00E2462C">
            <w:pPr>
              <w:spacing w:after="0" w:line="240" w:lineRule="auto"/>
              <w:jc w:val="center"/>
              <w:rPr>
                <w:rFonts w:eastAsia="Times New Roman"/>
                <w:spacing w:val="0"/>
                <w:sz w:val="18"/>
                <w:szCs w:val="18"/>
              </w:rPr>
            </w:pPr>
            <w:r w:rsidRPr="00232EBB">
              <w:rPr>
                <w:rFonts w:eastAsia="Times New Roman"/>
                <w:spacing w:val="0"/>
                <w:sz w:val="18"/>
                <w:szCs w:val="18"/>
              </w:rPr>
              <w:t>2,855,206.37</w:t>
            </w:r>
          </w:p>
        </w:tc>
        <w:tc>
          <w:tcPr>
            <w:tcW w:w="1620"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62C3B1E7" w14:textId="5BE4EA65" w:rsidR="006E49B1" w:rsidRPr="00232EBB" w:rsidRDefault="006E49B1" w:rsidP="00E2462C">
            <w:pPr>
              <w:spacing w:after="0" w:line="240" w:lineRule="auto"/>
              <w:jc w:val="center"/>
              <w:rPr>
                <w:rFonts w:eastAsia="Times New Roman"/>
                <w:spacing w:val="0"/>
                <w:sz w:val="18"/>
                <w:szCs w:val="18"/>
              </w:rPr>
            </w:pPr>
            <w:r w:rsidRPr="00232EBB">
              <w:rPr>
                <w:rFonts w:eastAsia="Times New Roman"/>
                <w:spacing w:val="0"/>
                <w:sz w:val="18"/>
                <w:szCs w:val="18"/>
              </w:rPr>
              <w:t>4,361,006.37</w:t>
            </w:r>
          </w:p>
        </w:tc>
      </w:tr>
      <w:tr w:rsidR="006E49B1" w:rsidRPr="00232EBB" w14:paraId="5A594F9F" w14:textId="77777777" w:rsidTr="006E49B1">
        <w:trPr>
          <w:trHeight w:val="568"/>
        </w:trPr>
        <w:tc>
          <w:tcPr>
            <w:tcW w:w="2001" w:type="dxa"/>
            <w:vMerge/>
            <w:tcBorders>
              <w:top w:val="nil"/>
              <w:left w:val="single" w:sz="8" w:space="0" w:color="auto"/>
              <w:bottom w:val="single" w:sz="8" w:space="0" w:color="000000"/>
              <w:right w:val="single" w:sz="8" w:space="0" w:color="auto"/>
            </w:tcBorders>
            <w:vAlign w:val="center"/>
            <w:hideMark/>
          </w:tcPr>
          <w:p w14:paraId="1BC9B3A0" w14:textId="77777777" w:rsidR="006E49B1" w:rsidRPr="00232EBB" w:rsidRDefault="006E49B1" w:rsidP="00E2462C">
            <w:pPr>
              <w:spacing w:after="0" w:line="240" w:lineRule="auto"/>
              <w:rPr>
                <w:rFonts w:eastAsia="Times New Roman"/>
                <w:b/>
                <w:bCs/>
                <w:spacing w:val="0"/>
                <w:sz w:val="14"/>
                <w:szCs w:val="14"/>
              </w:rPr>
            </w:pPr>
          </w:p>
        </w:tc>
        <w:tc>
          <w:tcPr>
            <w:tcW w:w="1059" w:type="dxa"/>
            <w:vMerge/>
            <w:tcBorders>
              <w:top w:val="nil"/>
              <w:left w:val="single" w:sz="8" w:space="0" w:color="auto"/>
              <w:bottom w:val="single" w:sz="8" w:space="0" w:color="000000"/>
              <w:right w:val="single" w:sz="8" w:space="0" w:color="auto"/>
            </w:tcBorders>
            <w:vAlign w:val="center"/>
            <w:hideMark/>
          </w:tcPr>
          <w:p w14:paraId="23FCBD5F" w14:textId="77777777" w:rsidR="006E49B1" w:rsidRPr="00232EBB" w:rsidRDefault="006E49B1" w:rsidP="00E2462C">
            <w:pPr>
              <w:spacing w:after="0" w:line="240" w:lineRule="auto"/>
              <w:rPr>
                <w:rFonts w:eastAsia="Times New Roman"/>
                <w:spacing w:val="0"/>
                <w:sz w:val="14"/>
                <w:szCs w:val="14"/>
              </w:rPr>
            </w:pPr>
          </w:p>
        </w:tc>
        <w:tc>
          <w:tcPr>
            <w:tcW w:w="1260" w:type="dxa"/>
            <w:vMerge/>
            <w:tcBorders>
              <w:top w:val="nil"/>
              <w:left w:val="single" w:sz="8" w:space="0" w:color="auto"/>
              <w:bottom w:val="single" w:sz="8" w:space="0" w:color="000000"/>
              <w:right w:val="single" w:sz="8" w:space="0" w:color="auto"/>
            </w:tcBorders>
            <w:vAlign w:val="center"/>
            <w:hideMark/>
          </w:tcPr>
          <w:p w14:paraId="31F99A7D" w14:textId="77777777" w:rsidR="006E49B1" w:rsidRPr="00232EBB" w:rsidRDefault="006E49B1" w:rsidP="00E2462C">
            <w:pPr>
              <w:spacing w:after="0" w:line="240" w:lineRule="auto"/>
              <w:rPr>
                <w:rFonts w:eastAsia="Times New Roman"/>
                <w:spacing w:val="0"/>
                <w:sz w:val="14"/>
                <w:szCs w:val="14"/>
              </w:rPr>
            </w:pPr>
          </w:p>
        </w:tc>
        <w:tc>
          <w:tcPr>
            <w:tcW w:w="1260" w:type="dxa"/>
            <w:vMerge/>
            <w:tcBorders>
              <w:top w:val="nil"/>
              <w:left w:val="single" w:sz="8" w:space="0" w:color="auto"/>
              <w:bottom w:val="single" w:sz="8" w:space="0" w:color="000000"/>
              <w:right w:val="single" w:sz="8" w:space="0" w:color="auto"/>
            </w:tcBorders>
            <w:vAlign w:val="center"/>
            <w:hideMark/>
          </w:tcPr>
          <w:p w14:paraId="4FA870FF" w14:textId="77777777" w:rsidR="006E49B1" w:rsidRPr="00232EBB" w:rsidRDefault="006E49B1" w:rsidP="00E2462C">
            <w:pPr>
              <w:spacing w:after="0" w:line="240" w:lineRule="auto"/>
              <w:rPr>
                <w:rFonts w:eastAsia="Times New Roman"/>
                <w:spacing w:val="0"/>
                <w:sz w:val="14"/>
                <w:szCs w:val="14"/>
              </w:rPr>
            </w:pPr>
          </w:p>
        </w:tc>
        <w:tc>
          <w:tcPr>
            <w:tcW w:w="1170" w:type="dxa"/>
            <w:vMerge/>
            <w:tcBorders>
              <w:top w:val="nil"/>
              <w:left w:val="single" w:sz="8" w:space="0" w:color="auto"/>
              <w:bottom w:val="single" w:sz="8" w:space="0" w:color="000000"/>
              <w:right w:val="single" w:sz="8" w:space="0" w:color="auto"/>
            </w:tcBorders>
            <w:vAlign w:val="center"/>
            <w:hideMark/>
          </w:tcPr>
          <w:p w14:paraId="0C03BA56" w14:textId="77777777" w:rsidR="006E49B1" w:rsidRPr="00232EBB" w:rsidRDefault="006E49B1" w:rsidP="00E2462C">
            <w:pPr>
              <w:spacing w:after="0" w:line="240" w:lineRule="auto"/>
              <w:rPr>
                <w:rFonts w:eastAsia="Times New Roman"/>
                <w:spacing w:val="0"/>
                <w:sz w:val="14"/>
                <w:szCs w:val="14"/>
              </w:rPr>
            </w:pPr>
          </w:p>
        </w:tc>
        <w:tc>
          <w:tcPr>
            <w:tcW w:w="1440" w:type="dxa"/>
            <w:vMerge/>
            <w:tcBorders>
              <w:top w:val="nil"/>
              <w:left w:val="single" w:sz="8" w:space="0" w:color="auto"/>
              <w:bottom w:val="single" w:sz="8" w:space="0" w:color="000000"/>
              <w:right w:val="single" w:sz="8" w:space="0" w:color="auto"/>
            </w:tcBorders>
            <w:vAlign w:val="center"/>
            <w:hideMark/>
          </w:tcPr>
          <w:p w14:paraId="0610249A" w14:textId="77777777" w:rsidR="006E49B1" w:rsidRPr="00232EBB" w:rsidRDefault="006E49B1" w:rsidP="00E2462C">
            <w:pPr>
              <w:spacing w:after="0" w:line="240" w:lineRule="auto"/>
              <w:rPr>
                <w:rFonts w:eastAsia="Times New Roman"/>
                <w:spacing w:val="0"/>
                <w:sz w:val="14"/>
                <w:szCs w:val="14"/>
              </w:rPr>
            </w:pPr>
          </w:p>
        </w:tc>
        <w:tc>
          <w:tcPr>
            <w:tcW w:w="1350" w:type="dxa"/>
            <w:vMerge/>
            <w:tcBorders>
              <w:top w:val="nil"/>
              <w:left w:val="single" w:sz="8" w:space="0" w:color="auto"/>
              <w:bottom w:val="single" w:sz="8" w:space="0" w:color="000000"/>
              <w:right w:val="single" w:sz="8" w:space="0" w:color="auto"/>
            </w:tcBorders>
            <w:vAlign w:val="center"/>
            <w:hideMark/>
          </w:tcPr>
          <w:p w14:paraId="3458D3A1" w14:textId="77777777" w:rsidR="006E49B1" w:rsidRPr="00232EBB" w:rsidRDefault="006E49B1" w:rsidP="00E2462C">
            <w:pPr>
              <w:spacing w:after="0" w:line="240" w:lineRule="auto"/>
              <w:rPr>
                <w:rFonts w:eastAsia="Times New Roman"/>
                <w:spacing w:val="0"/>
                <w:sz w:val="14"/>
                <w:szCs w:val="14"/>
              </w:rPr>
            </w:pPr>
          </w:p>
        </w:tc>
        <w:tc>
          <w:tcPr>
            <w:tcW w:w="1620" w:type="dxa"/>
            <w:vMerge/>
            <w:tcBorders>
              <w:top w:val="nil"/>
              <w:left w:val="single" w:sz="8" w:space="0" w:color="auto"/>
              <w:bottom w:val="single" w:sz="8" w:space="0" w:color="000000"/>
              <w:right w:val="single" w:sz="8" w:space="0" w:color="auto"/>
            </w:tcBorders>
            <w:vAlign w:val="center"/>
            <w:hideMark/>
          </w:tcPr>
          <w:p w14:paraId="4EBB9D5B" w14:textId="77777777" w:rsidR="006E49B1" w:rsidRPr="00232EBB" w:rsidRDefault="006E49B1" w:rsidP="00E2462C">
            <w:pPr>
              <w:spacing w:after="0" w:line="240" w:lineRule="auto"/>
              <w:rPr>
                <w:rFonts w:eastAsia="Times New Roman"/>
                <w:spacing w:val="0"/>
                <w:sz w:val="14"/>
                <w:szCs w:val="14"/>
              </w:rPr>
            </w:pPr>
          </w:p>
        </w:tc>
      </w:tr>
    </w:tbl>
    <w:p w14:paraId="54D4EB51" w14:textId="77777777" w:rsidR="00E2462C" w:rsidRPr="00232EBB" w:rsidRDefault="00E2462C" w:rsidP="00B47C98">
      <w:pPr>
        <w:ind w:left="-1710"/>
        <w:rPr>
          <w:rFonts w:eastAsia="Calibri"/>
          <w:b/>
          <w:bCs/>
          <w:sz w:val="18"/>
          <w:szCs w:val="18"/>
          <w:lang w:val="es-DO"/>
        </w:rPr>
      </w:pPr>
    </w:p>
    <w:p w14:paraId="21ABCD3A" w14:textId="77777777" w:rsidR="00E2462C" w:rsidRPr="00232EBB" w:rsidRDefault="00E2462C" w:rsidP="00B47C98">
      <w:pPr>
        <w:ind w:left="-1710"/>
        <w:rPr>
          <w:rFonts w:eastAsia="Calibri"/>
          <w:b/>
          <w:bCs/>
          <w:sz w:val="18"/>
          <w:szCs w:val="18"/>
          <w:lang w:val="es-DO"/>
        </w:rPr>
      </w:pPr>
    </w:p>
    <w:p w14:paraId="5D3A7922" w14:textId="77777777" w:rsidR="00E2462C" w:rsidRPr="00232EBB" w:rsidRDefault="00E2462C" w:rsidP="00B47C98">
      <w:pPr>
        <w:ind w:left="-1710"/>
        <w:rPr>
          <w:rFonts w:eastAsia="Calibri"/>
          <w:b/>
          <w:bCs/>
          <w:sz w:val="18"/>
          <w:szCs w:val="18"/>
          <w:lang w:val="es-DO"/>
        </w:rPr>
      </w:pPr>
    </w:p>
    <w:p w14:paraId="447D3E07" w14:textId="77777777" w:rsidR="00E2462C" w:rsidRPr="00232EBB" w:rsidRDefault="00E2462C" w:rsidP="00B47C98">
      <w:pPr>
        <w:ind w:left="-1710"/>
        <w:rPr>
          <w:rFonts w:eastAsia="Calibri"/>
          <w:b/>
          <w:bCs/>
          <w:sz w:val="18"/>
          <w:szCs w:val="18"/>
          <w:lang w:val="es-DO"/>
        </w:rPr>
      </w:pPr>
    </w:p>
    <w:p w14:paraId="44C56E4C" w14:textId="2EEF02A1" w:rsidR="00E2462C" w:rsidRPr="00232EBB" w:rsidRDefault="00E2462C" w:rsidP="00457D2E">
      <w:pPr>
        <w:keepNext/>
        <w:keepLines/>
        <w:spacing w:before="240" w:after="240"/>
        <w:ind w:left="-2160"/>
        <w:jc w:val="center"/>
        <w:outlineLvl w:val="0"/>
        <w:rPr>
          <w:rFonts w:eastAsiaTheme="majorEastAsia"/>
          <w:b/>
          <w:color w:val="767171" w:themeColor="background2" w:themeShade="80"/>
          <w:spacing w:val="0"/>
          <w:sz w:val="28"/>
          <w:szCs w:val="32"/>
          <w:lang w:val="es-DO"/>
        </w:rPr>
      </w:pPr>
      <w:bookmarkStart w:id="307" w:name="_Toc216952280"/>
      <w:r w:rsidRPr="00232EBB">
        <w:rPr>
          <w:rFonts w:eastAsiaTheme="majorEastAsia"/>
          <w:b/>
          <w:color w:val="767171" w:themeColor="background2" w:themeShade="80"/>
          <w:spacing w:val="0"/>
          <w:sz w:val="28"/>
          <w:szCs w:val="32"/>
          <w:lang w:val="es-DO"/>
        </w:rPr>
        <w:lastRenderedPageBreak/>
        <w:t>7.1 Anexo 1: Matriz Logros Relevantes – Datos Cuantitativos (RD$)</w:t>
      </w:r>
      <w:bookmarkEnd w:id="307"/>
    </w:p>
    <w:tbl>
      <w:tblPr>
        <w:tblW w:w="10447" w:type="dxa"/>
        <w:tblInd w:w="620" w:type="dxa"/>
        <w:tblLook w:val="04A0" w:firstRow="1" w:lastRow="0" w:firstColumn="1" w:lastColumn="0" w:noHBand="0" w:noVBand="1"/>
      </w:tblPr>
      <w:tblGrid>
        <w:gridCol w:w="1549"/>
        <w:gridCol w:w="1204"/>
        <w:gridCol w:w="1397"/>
        <w:gridCol w:w="1306"/>
        <w:gridCol w:w="1347"/>
        <w:gridCol w:w="1277"/>
        <w:gridCol w:w="2300"/>
        <w:gridCol w:w="246"/>
      </w:tblGrid>
      <w:tr w:rsidR="0024181E" w:rsidRPr="00232EBB" w14:paraId="15027737" w14:textId="77777777" w:rsidTr="0024181E">
        <w:trPr>
          <w:gridAfter w:val="1"/>
          <w:wAfter w:w="248" w:type="dxa"/>
          <w:trHeight w:val="870"/>
        </w:trPr>
        <w:tc>
          <w:tcPr>
            <w:tcW w:w="1549" w:type="dxa"/>
            <w:vMerge w:val="restart"/>
            <w:tcBorders>
              <w:top w:val="single" w:sz="8" w:space="0" w:color="auto"/>
              <w:left w:val="single" w:sz="8" w:space="0" w:color="auto"/>
              <w:bottom w:val="single" w:sz="8" w:space="0" w:color="000000"/>
              <w:right w:val="single" w:sz="8" w:space="0" w:color="auto"/>
            </w:tcBorders>
            <w:shd w:val="clear" w:color="000000" w:fill="002060"/>
            <w:noWrap/>
            <w:vAlign w:val="center"/>
            <w:hideMark/>
          </w:tcPr>
          <w:p w14:paraId="32C00071" w14:textId="77777777" w:rsidR="00E2462C" w:rsidRPr="00232EBB" w:rsidRDefault="00E2462C" w:rsidP="00E2462C">
            <w:pPr>
              <w:spacing w:after="0" w:line="240" w:lineRule="auto"/>
              <w:jc w:val="center"/>
              <w:rPr>
                <w:rFonts w:eastAsia="Times New Roman"/>
                <w:b/>
                <w:bCs/>
                <w:color w:val="FFFFFF"/>
                <w:spacing w:val="0"/>
                <w:sz w:val="18"/>
                <w:szCs w:val="18"/>
              </w:rPr>
            </w:pPr>
            <w:r w:rsidRPr="00232EBB">
              <w:rPr>
                <w:rFonts w:eastAsia="Calibri"/>
                <w:b/>
                <w:bCs/>
                <w:color w:val="FFFFFF" w:themeColor="background1"/>
                <w:spacing w:val="0"/>
                <w:sz w:val="18"/>
                <w:szCs w:val="18"/>
              </w:rPr>
              <w:t>JULIO</w:t>
            </w:r>
          </w:p>
        </w:tc>
        <w:tc>
          <w:tcPr>
            <w:tcW w:w="1204" w:type="dxa"/>
            <w:vMerge w:val="restart"/>
            <w:tcBorders>
              <w:top w:val="single" w:sz="8" w:space="0" w:color="auto"/>
              <w:left w:val="single" w:sz="8" w:space="0" w:color="auto"/>
              <w:bottom w:val="single" w:sz="8" w:space="0" w:color="000000"/>
              <w:right w:val="single" w:sz="8" w:space="0" w:color="auto"/>
            </w:tcBorders>
            <w:shd w:val="clear" w:color="000000" w:fill="002060"/>
            <w:noWrap/>
            <w:vAlign w:val="center"/>
            <w:hideMark/>
          </w:tcPr>
          <w:p w14:paraId="0ADDB4D0" w14:textId="77777777" w:rsidR="00E2462C" w:rsidRPr="00232EBB" w:rsidRDefault="00E2462C" w:rsidP="00E2462C">
            <w:pPr>
              <w:spacing w:after="0" w:line="240" w:lineRule="auto"/>
              <w:jc w:val="center"/>
              <w:rPr>
                <w:rFonts w:eastAsia="Times New Roman"/>
                <w:b/>
                <w:bCs/>
                <w:color w:val="FFFFFF"/>
                <w:spacing w:val="0"/>
                <w:sz w:val="18"/>
                <w:szCs w:val="18"/>
              </w:rPr>
            </w:pPr>
            <w:r w:rsidRPr="00232EBB">
              <w:rPr>
                <w:rFonts w:eastAsia="Calibri"/>
                <w:b/>
                <w:bCs/>
                <w:color w:val="FFFFFF" w:themeColor="background1"/>
                <w:spacing w:val="0"/>
                <w:sz w:val="18"/>
                <w:szCs w:val="18"/>
              </w:rPr>
              <w:t xml:space="preserve">AGOSTO </w:t>
            </w:r>
          </w:p>
        </w:tc>
        <w:tc>
          <w:tcPr>
            <w:tcW w:w="1334" w:type="dxa"/>
            <w:vMerge w:val="restart"/>
            <w:tcBorders>
              <w:top w:val="single" w:sz="8" w:space="0" w:color="auto"/>
              <w:left w:val="single" w:sz="8" w:space="0" w:color="auto"/>
              <w:bottom w:val="single" w:sz="8" w:space="0" w:color="000000"/>
              <w:right w:val="single" w:sz="8" w:space="0" w:color="auto"/>
            </w:tcBorders>
            <w:shd w:val="clear" w:color="000000" w:fill="002060"/>
            <w:noWrap/>
            <w:vAlign w:val="center"/>
            <w:hideMark/>
          </w:tcPr>
          <w:p w14:paraId="766E4728" w14:textId="77777777" w:rsidR="00E2462C" w:rsidRPr="00232EBB" w:rsidRDefault="00E2462C" w:rsidP="00E2462C">
            <w:pPr>
              <w:spacing w:after="0" w:line="240" w:lineRule="auto"/>
              <w:jc w:val="center"/>
              <w:rPr>
                <w:rFonts w:eastAsia="Times New Roman"/>
                <w:b/>
                <w:bCs/>
                <w:color w:val="FFFFFF"/>
                <w:spacing w:val="0"/>
                <w:sz w:val="18"/>
                <w:szCs w:val="18"/>
              </w:rPr>
            </w:pPr>
            <w:r w:rsidRPr="00232EBB">
              <w:rPr>
                <w:rFonts w:eastAsia="Calibri"/>
                <w:b/>
                <w:bCs/>
                <w:color w:val="FFFFFF" w:themeColor="background1"/>
                <w:spacing w:val="0"/>
                <w:sz w:val="18"/>
                <w:szCs w:val="18"/>
              </w:rPr>
              <w:t>SEPTIEMBRE</w:t>
            </w:r>
          </w:p>
        </w:tc>
        <w:tc>
          <w:tcPr>
            <w:tcW w:w="1306" w:type="dxa"/>
            <w:vMerge w:val="restart"/>
            <w:tcBorders>
              <w:top w:val="single" w:sz="8" w:space="0" w:color="auto"/>
              <w:left w:val="single" w:sz="8" w:space="0" w:color="auto"/>
              <w:bottom w:val="single" w:sz="8" w:space="0" w:color="000000"/>
              <w:right w:val="single" w:sz="8" w:space="0" w:color="auto"/>
            </w:tcBorders>
            <w:shd w:val="clear" w:color="000000" w:fill="002060"/>
            <w:noWrap/>
            <w:vAlign w:val="center"/>
            <w:hideMark/>
          </w:tcPr>
          <w:p w14:paraId="7FACC130" w14:textId="77777777" w:rsidR="00E2462C" w:rsidRPr="00232EBB" w:rsidRDefault="00E2462C" w:rsidP="00E2462C">
            <w:pPr>
              <w:spacing w:after="0" w:line="240" w:lineRule="auto"/>
              <w:jc w:val="center"/>
              <w:rPr>
                <w:rFonts w:eastAsia="Times New Roman"/>
                <w:b/>
                <w:bCs/>
                <w:color w:val="FFFFFF"/>
                <w:spacing w:val="0"/>
                <w:sz w:val="18"/>
                <w:szCs w:val="18"/>
              </w:rPr>
            </w:pPr>
            <w:r w:rsidRPr="00232EBB">
              <w:rPr>
                <w:rFonts w:eastAsia="Calibri"/>
                <w:b/>
                <w:bCs/>
                <w:color w:val="FFFFFF" w:themeColor="background1"/>
                <w:spacing w:val="0"/>
                <w:sz w:val="18"/>
                <w:szCs w:val="18"/>
              </w:rPr>
              <w:t>OCTUBRE</w:t>
            </w:r>
          </w:p>
        </w:tc>
        <w:tc>
          <w:tcPr>
            <w:tcW w:w="1286" w:type="dxa"/>
            <w:vMerge w:val="restart"/>
            <w:tcBorders>
              <w:top w:val="single" w:sz="8" w:space="0" w:color="auto"/>
              <w:left w:val="single" w:sz="8" w:space="0" w:color="auto"/>
              <w:bottom w:val="single" w:sz="8" w:space="0" w:color="000000"/>
              <w:right w:val="single" w:sz="8" w:space="0" w:color="auto"/>
            </w:tcBorders>
            <w:shd w:val="clear" w:color="000000" w:fill="002060"/>
            <w:noWrap/>
            <w:vAlign w:val="center"/>
            <w:hideMark/>
          </w:tcPr>
          <w:p w14:paraId="217C51CA" w14:textId="77777777" w:rsidR="00E2462C" w:rsidRPr="00232EBB" w:rsidRDefault="00E2462C" w:rsidP="00E2462C">
            <w:pPr>
              <w:spacing w:after="0" w:line="240" w:lineRule="auto"/>
              <w:jc w:val="center"/>
              <w:rPr>
                <w:rFonts w:eastAsia="Times New Roman"/>
                <w:b/>
                <w:bCs/>
                <w:color w:val="FFFFFF"/>
                <w:spacing w:val="0"/>
                <w:sz w:val="18"/>
                <w:szCs w:val="18"/>
              </w:rPr>
            </w:pPr>
            <w:r w:rsidRPr="00232EBB">
              <w:rPr>
                <w:rFonts w:eastAsia="Calibri"/>
                <w:b/>
                <w:bCs/>
                <w:color w:val="FFFFFF" w:themeColor="background1"/>
                <w:spacing w:val="0"/>
                <w:sz w:val="18"/>
                <w:szCs w:val="18"/>
              </w:rPr>
              <w:t>NOVIEMBRE</w:t>
            </w:r>
          </w:p>
        </w:tc>
        <w:tc>
          <w:tcPr>
            <w:tcW w:w="1220" w:type="dxa"/>
            <w:vMerge w:val="restart"/>
            <w:tcBorders>
              <w:top w:val="single" w:sz="8" w:space="0" w:color="auto"/>
              <w:left w:val="single" w:sz="8" w:space="0" w:color="auto"/>
              <w:bottom w:val="single" w:sz="8" w:space="0" w:color="000000"/>
              <w:right w:val="single" w:sz="8" w:space="0" w:color="auto"/>
            </w:tcBorders>
            <w:shd w:val="clear" w:color="000000" w:fill="002060"/>
            <w:vAlign w:val="center"/>
            <w:hideMark/>
          </w:tcPr>
          <w:p w14:paraId="395A75E5" w14:textId="77777777" w:rsidR="00E2462C" w:rsidRPr="00232EBB" w:rsidRDefault="00E2462C" w:rsidP="00E2462C">
            <w:pPr>
              <w:spacing w:after="0" w:line="240" w:lineRule="auto"/>
              <w:jc w:val="center"/>
              <w:rPr>
                <w:rFonts w:eastAsia="Times New Roman"/>
                <w:b/>
                <w:bCs/>
                <w:color w:val="FFFFFF"/>
                <w:spacing w:val="0"/>
                <w:sz w:val="18"/>
                <w:szCs w:val="18"/>
              </w:rPr>
            </w:pPr>
            <w:r w:rsidRPr="00232EBB">
              <w:rPr>
                <w:rFonts w:eastAsia="Calibri"/>
                <w:b/>
                <w:bCs/>
                <w:color w:val="FFFFFF" w:themeColor="background1"/>
                <w:spacing w:val="0"/>
                <w:sz w:val="18"/>
                <w:szCs w:val="18"/>
              </w:rPr>
              <w:t>DICIEMBRE</w:t>
            </w:r>
          </w:p>
        </w:tc>
        <w:tc>
          <w:tcPr>
            <w:tcW w:w="2300" w:type="dxa"/>
            <w:vMerge w:val="restart"/>
            <w:tcBorders>
              <w:top w:val="single" w:sz="8" w:space="0" w:color="auto"/>
              <w:left w:val="single" w:sz="8" w:space="0" w:color="auto"/>
              <w:bottom w:val="single" w:sz="8" w:space="0" w:color="000000"/>
              <w:right w:val="single" w:sz="8" w:space="0" w:color="auto"/>
            </w:tcBorders>
            <w:shd w:val="clear" w:color="000000" w:fill="002060"/>
            <w:vAlign w:val="center"/>
            <w:hideMark/>
          </w:tcPr>
          <w:p w14:paraId="5E699EEB" w14:textId="2E00D6D0" w:rsidR="00E2462C" w:rsidRPr="00232EBB" w:rsidRDefault="00E2462C" w:rsidP="00E2462C">
            <w:pPr>
              <w:spacing w:after="0" w:line="240" w:lineRule="auto"/>
              <w:jc w:val="center"/>
              <w:rPr>
                <w:rFonts w:eastAsia="Times New Roman"/>
                <w:b/>
                <w:bCs/>
                <w:color w:val="FFFFFF"/>
                <w:spacing w:val="0"/>
                <w:sz w:val="18"/>
                <w:szCs w:val="18"/>
              </w:rPr>
            </w:pPr>
            <w:r w:rsidRPr="00232EBB">
              <w:rPr>
                <w:rFonts w:eastAsia="Calibri"/>
                <w:b/>
                <w:bCs/>
                <w:color w:val="FFFFFF" w:themeColor="background1"/>
                <w:spacing w:val="0"/>
                <w:sz w:val="18"/>
                <w:szCs w:val="18"/>
              </w:rPr>
              <w:t>TOTAL AÑO 202</w:t>
            </w:r>
            <w:r w:rsidR="00A667A3" w:rsidRPr="00232EBB">
              <w:rPr>
                <w:rFonts w:eastAsia="Calibri"/>
                <w:b/>
                <w:bCs/>
                <w:color w:val="FFFFFF" w:themeColor="background1"/>
                <w:spacing w:val="0"/>
                <w:sz w:val="18"/>
                <w:szCs w:val="18"/>
              </w:rPr>
              <w:t>5</w:t>
            </w:r>
          </w:p>
        </w:tc>
      </w:tr>
      <w:tr w:rsidR="0024181E" w:rsidRPr="00232EBB" w14:paraId="7B8D7169" w14:textId="77777777" w:rsidTr="00C8454E">
        <w:trPr>
          <w:trHeight w:val="77"/>
        </w:trPr>
        <w:tc>
          <w:tcPr>
            <w:tcW w:w="1549" w:type="dxa"/>
            <w:vMerge/>
            <w:tcBorders>
              <w:top w:val="single" w:sz="8" w:space="0" w:color="auto"/>
              <w:left w:val="single" w:sz="8" w:space="0" w:color="auto"/>
              <w:bottom w:val="single" w:sz="8" w:space="0" w:color="000000"/>
              <w:right w:val="single" w:sz="8" w:space="0" w:color="auto"/>
            </w:tcBorders>
            <w:vAlign w:val="center"/>
            <w:hideMark/>
          </w:tcPr>
          <w:p w14:paraId="1AA4244B" w14:textId="77777777" w:rsidR="00E2462C" w:rsidRPr="00232EBB" w:rsidRDefault="00E2462C" w:rsidP="00E2462C">
            <w:pPr>
              <w:spacing w:after="0" w:line="240" w:lineRule="auto"/>
              <w:rPr>
                <w:rFonts w:eastAsia="Times New Roman"/>
                <w:b/>
                <w:bCs/>
                <w:color w:val="FFFFFF"/>
                <w:spacing w:val="0"/>
                <w:sz w:val="18"/>
                <w:szCs w:val="18"/>
              </w:rPr>
            </w:pPr>
          </w:p>
        </w:tc>
        <w:tc>
          <w:tcPr>
            <w:tcW w:w="1204" w:type="dxa"/>
            <w:vMerge/>
            <w:tcBorders>
              <w:top w:val="single" w:sz="8" w:space="0" w:color="auto"/>
              <w:left w:val="single" w:sz="8" w:space="0" w:color="auto"/>
              <w:bottom w:val="single" w:sz="8" w:space="0" w:color="000000"/>
              <w:right w:val="single" w:sz="8" w:space="0" w:color="auto"/>
            </w:tcBorders>
            <w:vAlign w:val="center"/>
            <w:hideMark/>
          </w:tcPr>
          <w:p w14:paraId="26110446" w14:textId="77777777" w:rsidR="00E2462C" w:rsidRPr="00232EBB" w:rsidRDefault="00E2462C" w:rsidP="00E2462C">
            <w:pPr>
              <w:spacing w:after="0" w:line="240" w:lineRule="auto"/>
              <w:rPr>
                <w:rFonts w:eastAsia="Times New Roman"/>
                <w:b/>
                <w:bCs/>
                <w:color w:val="FFFFFF"/>
                <w:spacing w:val="0"/>
                <w:sz w:val="18"/>
                <w:szCs w:val="18"/>
              </w:rPr>
            </w:pPr>
          </w:p>
        </w:tc>
        <w:tc>
          <w:tcPr>
            <w:tcW w:w="1334" w:type="dxa"/>
            <w:vMerge/>
            <w:tcBorders>
              <w:top w:val="single" w:sz="8" w:space="0" w:color="auto"/>
              <w:left w:val="single" w:sz="8" w:space="0" w:color="auto"/>
              <w:bottom w:val="single" w:sz="8" w:space="0" w:color="000000"/>
              <w:right w:val="single" w:sz="8" w:space="0" w:color="auto"/>
            </w:tcBorders>
            <w:vAlign w:val="center"/>
            <w:hideMark/>
          </w:tcPr>
          <w:p w14:paraId="75DDBFA7" w14:textId="77777777" w:rsidR="00E2462C" w:rsidRPr="00232EBB" w:rsidRDefault="00E2462C" w:rsidP="00E2462C">
            <w:pPr>
              <w:spacing w:after="0" w:line="240" w:lineRule="auto"/>
              <w:rPr>
                <w:rFonts w:eastAsia="Times New Roman"/>
                <w:b/>
                <w:bCs/>
                <w:color w:val="FFFFFF"/>
                <w:spacing w:val="0"/>
                <w:sz w:val="18"/>
                <w:szCs w:val="18"/>
              </w:rPr>
            </w:pPr>
          </w:p>
        </w:tc>
        <w:tc>
          <w:tcPr>
            <w:tcW w:w="1306" w:type="dxa"/>
            <w:vMerge/>
            <w:tcBorders>
              <w:top w:val="single" w:sz="8" w:space="0" w:color="auto"/>
              <w:left w:val="single" w:sz="8" w:space="0" w:color="auto"/>
              <w:bottom w:val="single" w:sz="8" w:space="0" w:color="000000"/>
              <w:right w:val="single" w:sz="8" w:space="0" w:color="auto"/>
            </w:tcBorders>
            <w:vAlign w:val="center"/>
            <w:hideMark/>
          </w:tcPr>
          <w:p w14:paraId="570E5BC8" w14:textId="77777777" w:rsidR="00E2462C" w:rsidRPr="00232EBB" w:rsidRDefault="00E2462C" w:rsidP="00E2462C">
            <w:pPr>
              <w:spacing w:after="0" w:line="240" w:lineRule="auto"/>
              <w:rPr>
                <w:rFonts w:eastAsia="Times New Roman"/>
                <w:b/>
                <w:bCs/>
                <w:color w:val="FFFFFF"/>
                <w:spacing w:val="0"/>
                <w:sz w:val="18"/>
                <w:szCs w:val="18"/>
              </w:rPr>
            </w:pPr>
          </w:p>
        </w:tc>
        <w:tc>
          <w:tcPr>
            <w:tcW w:w="1286" w:type="dxa"/>
            <w:vMerge/>
            <w:tcBorders>
              <w:top w:val="single" w:sz="8" w:space="0" w:color="auto"/>
              <w:left w:val="single" w:sz="8" w:space="0" w:color="auto"/>
              <w:bottom w:val="single" w:sz="8" w:space="0" w:color="000000"/>
              <w:right w:val="single" w:sz="8" w:space="0" w:color="auto"/>
            </w:tcBorders>
            <w:vAlign w:val="center"/>
            <w:hideMark/>
          </w:tcPr>
          <w:p w14:paraId="5CE3FA12" w14:textId="77777777" w:rsidR="00E2462C" w:rsidRPr="00232EBB" w:rsidRDefault="00E2462C" w:rsidP="00E2462C">
            <w:pPr>
              <w:spacing w:after="0" w:line="240" w:lineRule="auto"/>
              <w:rPr>
                <w:rFonts w:eastAsia="Times New Roman"/>
                <w:b/>
                <w:bCs/>
                <w:color w:val="FFFFFF"/>
                <w:spacing w:val="0"/>
                <w:sz w:val="18"/>
                <w:szCs w:val="18"/>
              </w:rPr>
            </w:pPr>
          </w:p>
        </w:tc>
        <w:tc>
          <w:tcPr>
            <w:tcW w:w="1220" w:type="dxa"/>
            <w:vMerge/>
            <w:tcBorders>
              <w:top w:val="single" w:sz="8" w:space="0" w:color="auto"/>
              <w:left w:val="single" w:sz="8" w:space="0" w:color="auto"/>
              <w:bottom w:val="single" w:sz="8" w:space="0" w:color="000000"/>
              <w:right w:val="single" w:sz="8" w:space="0" w:color="auto"/>
            </w:tcBorders>
            <w:vAlign w:val="center"/>
            <w:hideMark/>
          </w:tcPr>
          <w:p w14:paraId="30FD6C64" w14:textId="77777777" w:rsidR="00E2462C" w:rsidRPr="00232EBB" w:rsidRDefault="00E2462C" w:rsidP="00E2462C">
            <w:pPr>
              <w:spacing w:after="0" w:line="240" w:lineRule="auto"/>
              <w:rPr>
                <w:rFonts w:eastAsia="Times New Roman"/>
                <w:b/>
                <w:bCs/>
                <w:color w:val="FFFFFF"/>
                <w:spacing w:val="0"/>
                <w:sz w:val="18"/>
                <w:szCs w:val="18"/>
              </w:rPr>
            </w:pPr>
          </w:p>
        </w:tc>
        <w:tc>
          <w:tcPr>
            <w:tcW w:w="2300" w:type="dxa"/>
            <w:vMerge/>
            <w:tcBorders>
              <w:top w:val="single" w:sz="8" w:space="0" w:color="auto"/>
              <w:left w:val="single" w:sz="8" w:space="0" w:color="auto"/>
              <w:bottom w:val="single" w:sz="8" w:space="0" w:color="000000"/>
              <w:right w:val="single" w:sz="8" w:space="0" w:color="auto"/>
            </w:tcBorders>
            <w:vAlign w:val="center"/>
            <w:hideMark/>
          </w:tcPr>
          <w:p w14:paraId="053408BB" w14:textId="77777777" w:rsidR="00E2462C" w:rsidRPr="00232EBB" w:rsidRDefault="00E2462C" w:rsidP="00E2462C">
            <w:pPr>
              <w:spacing w:after="0" w:line="240" w:lineRule="auto"/>
              <w:rPr>
                <w:rFonts w:eastAsia="Times New Roman"/>
                <w:b/>
                <w:bCs/>
                <w:color w:val="FFFFFF"/>
                <w:spacing w:val="0"/>
                <w:sz w:val="18"/>
                <w:szCs w:val="18"/>
              </w:rPr>
            </w:pPr>
          </w:p>
        </w:tc>
        <w:tc>
          <w:tcPr>
            <w:tcW w:w="246" w:type="dxa"/>
            <w:tcBorders>
              <w:top w:val="nil"/>
              <w:left w:val="nil"/>
              <w:bottom w:val="nil"/>
              <w:right w:val="nil"/>
            </w:tcBorders>
            <w:noWrap/>
            <w:vAlign w:val="bottom"/>
            <w:hideMark/>
          </w:tcPr>
          <w:p w14:paraId="383F9D97" w14:textId="77777777" w:rsidR="00E2462C" w:rsidRPr="00232EBB" w:rsidRDefault="00E2462C" w:rsidP="00E2462C">
            <w:pPr>
              <w:spacing w:after="0" w:line="240" w:lineRule="auto"/>
              <w:jc w:val="center"/>
              <w:rPr>
                <w:rFonts w:eastAsia="Times New Roman"/>
                <w:b/>
                <w:bCs/>
                <w:color w:val="FFFFFF"/>
                <w:spacing w:val="0"/>
                <w:sz w:val="12"/>
                <w:szCs w:val="12"/>
              </w:rPr>
            </w:pPr>
          </w:p>
        </w:tc>
      </w:tr>
      <w:tr w:rsidR="00E2462C" w:rsidRPr="00232EBB" w14:paraId="547BBDCA" w14:textId="77777777" w:rsidTr="0024181E">
        <w:trPr>
          <w:trHeight w:val="639"/>
        </w:trPr>
        <w:tc>
          <w:tcPr>
            <w:tcW w:w="4088" w:type="dxa"/>
            <w:gridSpan w:val="3"/>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7C44B4E3" w14:textId="25BA5BC9" w:rsidR="00E2462C" w:rsidRPr="00232EBB" w:rsidRDefault="00C16573" w:rsidP="00E2462C">
            <w:pPr>
              <w:spacing w:after="0" w:line="240" w:lineRule="auto"/>
              <w:jc w:val="center"/>
              <w:rPr>
                <w:rFonts w:eastAsia="Times New Roman"/>
                <w:spacing w:val="0"/>
                <w:sz w:val="18"/>
                <w:szCs w:val="18"/>
              </w:rPr>
            </w:pPr>
            <w:r w:rsidRPr="00232EBB">
              <w:rPr>
                <w:rFonts w:eastAsia="Times New Roman"/>
                <w:spacing w:val="0"/>
                <w:sz w:val="18"/>
                <w:szCs w:val="18"/>
              </w:rPr>
              <w:t>226</w:t>
            </w:r>
          </w:p>
        </w:tc>
        <w:tc>
          <w:tcPr>
            <w:tcW w:w="3813" w:type="dxa"/>
            <w:gridSpan w:val="3"/>
            <w:tcBorders>
              <w:top w:val="single" w:sz="8" w:space="0" w:color="auto"/>
              <w:left w:val="nil"/>
              <w:bottom w:val="single" w:sz="8" w:space="0" w:color="auto"/>
              <w:right w:val="single" w:sz="8" w:space="0" w:color="000000"/>
            </w:tcBorders>
            <w:shd w:val="clear" w:color="000000" w:fill="FFFFFF"/>
            <w:noWrap/>
            <w:vAlign w:val="center"/>
            <w:hideMark/>
          </w:tcPr>
          <w:p w14:paraId="72DC7075" w14:textId="16220246" w:rsidR="00E2462C" w:rsidRPr="00232EBB" w:rsidRDefault="00D74FBA" w:rsidP="00E2462C">
            <w:pPr>
              <w:spacing w:after="0" w:line="240" w:lineRule="auto"/>
              <w:jc w:val="center"/>
              <w:rPr>
                <w:rFonts w:eastAsia="Times New Roman"/>
                <w:spacing w:val="0"/>
                <w:sz w:val="18"/>
                <w:szCs w:val="18"/>
              </w:rPr>
            </w:pPr>
            <w:r>
              <w:rPr>
                <w:rFonts w:eastAsia="Times New Roman"/>
                <w:spacing w:val="0"/>
                <w:sz w:val="18"/>
                <w:szCs w:val="18"/>
              </w:rPr>
              <w:t>289</w:t>
            </w:r>
          </w:p>
        </w:tc>
        <w:tc>
          <w:tcPr>
            <w:tcW w:w="2300" w:type="dxa"/>
            <w:tcBorders>
              <w:top w:val="nil"/>
              <w:left w:val="nil"/>
              <w:bottom w:val="single" w:sz="8" w:space="0" w:color="auto"/>
              <w:right w:val="single" w:sz="8" w:space="0" w:color="auto"/>
            </w:tcBorders>
            <w:shd w:val="clear" w:color="000000" w:fill="FFFFFF"/>
            <w:noWrap/>
            <w:vAlign w:val="center"/>
            <w:hideMark/>
          </w:tcPr>
          <w:p w14:paraId="0DD32C6C" w14:textId="4659575D" w:rsidR="00E2462C" w:rsidRPr="00232EBB" w:rsidRDefault="00D74FBA" w:rsidP="00E2462C">
            <w:pPr>
              <w:spacing w:after="0" w:line="240" w:lineRule="auto"/>
              <w:jc w:val="center"/>
              <w:rPr>
                <w:rFonts w:eastAsia="Times New Roman"/>
                <w:spacing w:val="0"/>
                <w:sz w:val="18"/>
                <w:szCs w:val="18"/>
              </w:rPr>
            </w:pPr>
            <w:r>
              <w:rPr>
                <w:rFonts w:eastAsia="Times New Roman"/>
                <w:spacing w:val="0"/>
                <w:sz w:val="18"/>
                <w:szCs w:val="18"/>
              </w:rPr>
              <w:t>1,227</w:t>
            </w:r>
          </w:p>
        </w:tc>
        <w:tc>
          <w:tcPr>
            <w:tcW w:w="246" w:type="dxa"/>
            <w:vAlign w:val="center"/>
            <w:hideMark/>
          </w:tcPr>
          <w:p w14:paraId="795BDEB5" w14:textId="77777777" w:rsidR="00E2462C" w:rsidRPr="00232EBB" w:rsidRDefault="00E2462C" w:rsidP="00E2462C">
            <w:pPr>
              <w:spacing w:after="0" w:line="240" w:lineRule="auto"/>
              <w:rPr>
                <w:rFonts w:eastAsia="Times New Roman"/>
                <w:color w:val="auto"/>
                <w:spacing w:val="0"/>
                <w:sz w:val="20"/>
                <w:szCs w:val="20"/>
              </w:rPr>
            </w:pPr>
          </w:p>
        </w:tc>
      </w:tr>
      <w:tr w:rsidR="0024181E" w:rsidRPr="00232EBB" w14:paraId="3B0F04DD" w14:textId="77777777" w:rsidTr="0024181E">
        <w:trPr>
          <w:trHeight w:val="870"/>
        </w:trPr>
        <w:tc>
          <w:tcPr>
            <w:tcW w:w="1549" w:type="dxa"/>
            <w:tcBorders>
              <w:top w:val="nil"/>
              <w:left w:val="single" w:sz="8" w:space="0" w:color="auto"/>
              <w:bottom w:val="single" w:sz="8" w:space="0" w:color="auto"/>
              <w:right w:val="single" w:sz="8" w:space="0" w:color="auto"/>
            </w:tcBorders>
            <w:shd w:val="clear" w:color="000000" w:fill="FFFFFF"/>
            <w:noWrap/>
            <w:vAlign w:val="center"/>
            <w:hideMark/>
          </w:tcPr>
          <w:p w14:paraId="2A2CC7EC" w14:textId="58F707D0" w:rsidR="00E2462C" w:rsidRPr="00232EBB" w:rsidRDefault="004C1458" w:rsidP="00E2462C">
            <w:pPr>
              <w:spacing w:after="0" w:line="240" w:lineRule="auto"/>
              <w:jc w:val="center"/>
              <w:rPr>
                <w:rFonts w:eastAsia="Times New Roman"/>
                <w:spacing w:val="0"/>
                <w:sz w:val="18"/>
                <w:szCs w:val="18"/>
              </w:rPr>
            </w:pPr>
            <w:r w:rsidRPr="00232EBB">
              <w:rPr>
                <w:rFonts w:eastAsia="Calibri"/>
                <w:spacing w:val="0"/>
                <w:sz w:val="18"/>
                <w:szCs w:val="18"/>
              </w:rPr>
              <w:t>6,898,182.86</w:t>
            </w:r>
          </w:p>
        </w:tc>
        <w:tc>
          <w:tcPr>
            <w:tcW w:w="1204" w:type="dxa"/>
            <w:tcBorders>
              <w:top w:val="nil"/>
              <w:left w:val="nil"/>
              <w:bottom w:val="single" w:sz="8" w:space="0" w:color="auto"/>
              <w:right w:val="single" w:sz="8" w:space="0" w:color="auto"/>
            </w:tcBorders>
            <w:shd w:val="clear" w:color="000000" w:fill="FFFFFF"/>
            <w:noWrap/>
            <w:vAlign w:val="center"/>
            <w:hideMark/>
          </w:tcPr>
          <w:p w14:paraId="12FE84E6" w14:textId="191810DD" w:rsidR="00E2462C" w:rsidRPr="00232EBB" w:rsidRDefault="00704842" w:rsidP="00E2462C">
            <w:pPr>
              <w:spacing w:after="0" w:line="240" w:lineRule="auto"/>
              <w:jc w:val="center"/>
              <w:rPr>
                <w:rFonts w:eastAsia="Times New Roman"/>
                <w:spacing w:val="0"/>
                <w:sz w:val="18"/>
                <w:szCs w:val="18"/>
              </w:rPr>
            </w:pPr>
            <w:r w:rsidRPr="00232EBB">
              <w:rPr>
                <w:rFonts w:eastAsia="Times New Roman"/>
                <w:spacing w:val="0"/>
                <w:sz w:val="18"/>
                <w:szCs w:val="18"/>
              </w:rPr>
              <w:t>6,956,987.89</w:t>
            </w:r>
          </w:p>
        </w:tc>
        <w:tc>
          <w:tcPr>
            <w:tcW w:w="1334" w:type="dxa"/>
            <w:tcBorders>
              <w:top w:val="nil"/>
              <w:left w:val="nil"/>
              <w:bottom w:val="single" w:sz="8" w:space="0" w:color="auto"/>
              <w:right w:val="single" w:sz="8" w:space="0" w:color="auto"/>
            </w:tcBorders>
            <w:shd w:val="clear" w:color="000000" w:fill="FFFFFF"/>
            <w:noWrap/>
            <w:vAlign w:val="center"/>
            <w:hideMark/>
          </w:tcPr>
          <w:p w14:paraId="493D2F11" w14:textId="2CAB98EB" w:rsidR="00E2462C" w:rsidRPr="00232EBB" w:rsidRDefault="00704842" w:rsidP="00E2462C">
            <w:pPr>
              <w:spacing w:after="0" w:line="240" w:lineRule="auto"/>
              <w:jc w:val="center"/>
              <w:rPr>
                <w:rFonts w:eastAsia="Times New Roman"/>
                <w:spacing w:val="0"/>
                <w:sz w:val="18"/>
                <w:szCs w:val="18"/>
              </w:rPr>
            </w:pPr>
            <w:r w:rsidRPr="00232EBB">
              <w:rPr>
                <w:rFonts w:eastAsia="Times New Roman"/>
                <w:spacing w:val="0"/>
                <w:sz w:val="18"/>
                <w:szCs w:val="18"/>
              </w:rPr>
              <w:t>7,373,587.40</w:t>
            </w:r>
          </w:p>
        </w:tc>
        <w:tc>
          <w:tcPr>
            <w:tcW w:w="1306" w:type="dxa"/>
            <w:tcBorders>
              <w:top w:val="nil"/>
              <w:left w:val="nil"/>
              <w:bottom w:val="single" w:sz="8" w:space="0" w:color="auto"/>
              <w:right w:val="single" w:sz="8" w:space="0" w:color="auto"/>
            </w:tcBorders>
            <w:shd w:val="clear" w:color="000000" w:fill="FFFFFF"/>
            <w:noWrap/>
            <w:vAlign w:val="center"/>
            <w:hideMark/>
          </w:tcPr>
          <w:p w14:paraId="4B436BE7" w14:textId="77F22086" w:rsidR="00E2462C" w:rsidRPr="00232EBB" w:rsidRDefault="00704842" w:rsidP="00E2462C">
            <w:pPr>
              <w:spacing w:after="0" w:line="240" w:lineRule="auto"/>
              <w:jc w:val="center"/>
              <w:rPr>
                <w:rFonts w:eastAsia="Times New Roman"/>
                <w:spacing w:val="0"/>
                <w:sz w:val="18"/>
                <w:szCs w:val="18"/>
              </w:rPr>
            </w:pPr>
            <w:r w:rsidRPr="00232EBB">
              <w:rPr>
                <w:rFonts w:eastAsia="Times New Roman"/>
                <w:spacing w:val="0"/>
                <w:sz w:val="18"/>
                <w:szCs w:val="18"/>
              </w:rPr>
              <w:t>13,977,122.32</w:t>
            </w:r>
          </w:p>
        </w:tc>
        <w:tc>
          <w:tcPr>
            <w:tcW w:w="1286" w:type="dxa"/>
            <w:tcBorders>
              <w:top w:val="nil"/>
              <w:left w:val="nil"/>
              <w:bottom w:val="single" w:sz="8" w:space="0" w:color="auto"/>
              <w:right w:val="single" w:sz="8" w:space="0" w:color="auto"/>
            </w:tcBorders>
            <w:shd w:val="clear" w:color="000000" w:fill="FFFFFF"/>
            <w:noWrap/>
            <w:vAlign w:val="center"/>
            <w:hideMark/>
          </w:tcPr>
          <w:p w14:paraId="748F56C1" w14:textId="6C5F1435" w:rsidR="00E2462C" w:rsidRPr="00232EBB" w:rsidRDefault="00704842" w:rsidP="00E2462C">
            <w:pPr>
              <w:spacing w:after="0" w:line="240" w:lineRule="auto"/>
              <w:jc w:val="center"/>
              <w:rPr>
                <w:rFonts w:eastAsia="Times New Roman"/>
                <w:spacing w:val="0"/>
                <w:sz w:val="18"/>
                <w:szCs w:val="18"/>
              </w:rPr>
            </w:pPr>
            <w:r w:rsidRPr="00232EBB">
              <w:rPr>
                <w:rFonts w:eastAsia="Times New Roman"/>
                <w:spacing w:val="0"/>
                <w:sz w:val="18"/>
                <w:szCs w:val="18"/>
              </w:rPr>
              <w:t>13,687,836.57</w:t>
            </w:r>
          </w:p>
        </w:tc>
        <w:tc>
          <w:tcPr>
            <w:tcW w:w="1220" w:type="dxa"/>
            <w:tcBorders>
              <w:top w:val="nil"/>
              <w:left w:val="nil"/>
              <w:bottom w:val="single" w:sz="8" w:space="0" w:color="auto"/>
              <w:right w:val="single" w:sz="8" w:space="0" w:color="auto"/>
            </w:tcBorders>
            <w:shd w:val="clear" w:color="000000" w:fill="FFFFFF"/>
            <w:vAlign w:val="center"/>
            <w:hideMark/>
          </w:tcPr>
          <w:p w14:paraId="3A002226" w14:textId="5C157100" w:rsidR="00E2462C" w:rsidRPr="00232EBB" w:rsidRDefault="005B74F5" w:rsidP="00E2462C">
            <w:pPr>
              <w:spacing w:after="0" w:line="240" w:lineRule="auto"/>
              <w:jc w:val="center"/>
              <w:rPr>
                <w:rFonts w:eastAsia="Times New Roman"/>
                <w:spacing w:val="0"/>
                <w:sz w:val="18"/>
                <w:szCs w:val="18"/>
              </w:rPr>
            </w:pPr>
            <w:r>
              <w:rPr>
                <w:rFonts w:eastAsia="Calibri"/>
                <w:spacing w:val="0"/>
                <w:sz w:val="18"/>
                <w:szCs w:val="18"/>
              </w:rPr>
              <w:t>14,270,039.01</w:t>
            </w:r>
          </w:p>
        </w:tc>
        <w:tc>
          <w:tcPr>
            <w:tcW w:w="2300" w:type="dxa"/>
            <w:tcBorders>
              <w:top w:val="nil"/>
              <w:left w:val="nil"/>
              <w:bottom w:val="single" w:sz="8" w:space="0" w:color="auto"/>
              <w:right w:val="single" w:sz="8" w:space="0" w:color="auto"/>
            </w:tcBorders>
            <w:shd w:val="clear" w:color="000000" w:fill="FFFFFF"/>
            <w:noWrap/>
            <w:vAlign w:val="center"/>
            <w:hideMark/>
          </w:tcPr>
          <w:p w14:paraId="322AE558" w14:textId="6E1A0EFF" w:rsidR="00E2462C" w:rsidRPr="00232EBB" w:rsidRDefault="005B74F5" w:rsidP="00E2462C">
            <w:pPr>
              <w:spacing w:after="0" w:line="240" w:lineRule="auto"/>
              <w:jc w:val="center"/>
              <w:rPr>
                <w:rFonts w:eastAsia="Times New Roman"/>
                <w:spacing w:val="0"/>
                <w:sz w:val="18"/>
                <w:szCs w:val="18"/>
              </w:rPr>
            </w:pPr>
            <w:r>
              <w:rPr>
                <w:rFonts w:eastAsia="Calibri"/>
                <w:spacing w:val="0"/>
                <w:sz w:val="18"/>
                <w:szCs w:val="18"/>
              </w:rPr>
              <w:t>112,212,073.72</w:t>
            </w:r>
          </w:p>
        </w:tc>
        <w:tc>
          <w:tcPr>
            <w:tcW w:w="246" w:type="dxa"/>
            <w:vAlign w:val="center"/>
            <w:hideMark/>
          </w:tcPr>
          <w:p w14:paraId="32AD3D22" w14:textId="77777777" w:rsidR="00E2462C" w:rsidRPr="00232EBB" w:rsidRDefault="00E2462C" w:rsidP="00E2462C">
            <w:pPr>
              <w:spacing w:after="0" w:line="240" w:lineRule="auto"/>
              <w:rPr>
                <w:rFonts w:eastAsia="Times New Roman"/>
                <w:color w:val="auto"/>
                <w:spacing w:val="0"/>
                <w:sz w:val="20"/>
                <w:szCs w:val="20"/>
              </w:rPr>
            </w:pPr>
          </w:p>
        </w:tc>
      </w:tr>
      <w:tr w:rsidR="00E2462C" w:rsidRPr="00232EBB" w14:paraId="47943B40" w14:textId="77777777" w:rsidTr="0024181E">
        <w:trPr>
          <w:trHeight w:val="608"/>
        </w:trPr>
        <w:tc>
          <w:tcPr>
            <w:tcW w:w="4088" w:type="dxa"/>
            <w:gridSpan w:val="3"/>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4A3A5F03" w14:textId="29DC81FA" w:rsidR="00E2462C" w:rsidRPr="00232EBB" w:rsidRDefault="00C16573" w:rsidP="00E2462C">
            <w:pPr>
              <w:spacing w:after="0" w:line="240" w:lineRule="auto"/>
              <w:jc w:val="center"/>
              <w:rPr>
                <w:rFonts w:eastAsia="Times New Roman"/>
                <w:spacing w:val="0"/>
                <w:sz w:val="18"/>
                <w:szCs w:val="18"/>
              </w:rPr>
            </w:pPr>
            <w:r w:rsidRPr="00232EBB">
              <w:rPr>
                <w:rFonts w:eastAsia="Times New Roman"/>
                <w:spacing w:val="0"/>
                <w:sz w:val="18"/>
                <w:szCs w:val="18"/>
              </w:rPr>
              <w:t>98.90%</w:t>
            </w:r>
          </w:p>
        </w:tc>
        <w:tc>
          <w:tcPr>
            <w:tcW w:w="3813" w:type="dxa"/>
            <w:gridSpan w:val="3"/>
            <w:tcBorders>
              <w:top w:val="single" w:sz="8" w:space="0" w:color="auto"/>
              <w:left w:val="nil"/>
              <w:bottom w:val="single" w:sz="8" w:space="0" w:color="auto"/>
              <w:right w:val="single" w:sz="8" w:space="0" w:color="000000"/>
            </w:tcBorders>
            <w:shd w:val="clear" w:color="000000" w:fill="FFFFFF"/>
            <w:noWrap/>
            <w:vAlign w:val="center"/>
            <w:hideMark/>
          </w:tcPr>
          <w:p w14:paraId="3C5BCFEE" w14:textId="76C0D37B" w:rsidR="00E2462C" w:rsidRPr="00232EBB" w:rsidRDefault="00D74FBA" w:rsidP="00E2462C">
            <w:pPr>
              <w:spacing w:after="0" w:line="240" w:lineRule="auto"/>
              <w:jc w:val="center"/>
              <w:rPr>
                <w:rFonts w:eastAsia="Times New Roman"/>
                <w:spacing w:val="0"/>
                <w:sz w:val="18"/>
                <w:szCs w:val="18"/>
              </w:rPr>
            </w:pPr>
            <w:r>
              <w:rPr>
                <w:rFonts w:eastAsia="Times New Roman"/>
                <w:spacing w:val="0"/>
                <w:sz w:val="18"/>
                <w:szCs w:val="18"/>
              </w:rPr>
              <w:t>99%</w:t>
            </w:r>
          </w:p>
        </w:tc>
        <w:tc>
          <w:tcPr>
            <w:tcW w:w="2300" w:type="dxa"/>
            <w:tcBorders>
              <w:top w:val="nil"/>
              <w:left w:val="nil"/>
              <w:bottom w:val="single" w:sz="8" w:space="0" w:color="auto"/>
              <w:right w:val="single" w:sz="8" w:space="0" w:color="auto"/>
            </w:tcBorders>
            <w:shd w:val="clear" w:color="000000" w:fill="FFFFFF"/>
            <w:noWrap/>
            <w:vAlign w:val="center"/>
            <w:hideMark/>
          </w:tcPr>
          <w:p w14:paraId="2944AF22" w14:textId="3267B5D0" w:rsidR="00E2462C" w:rsidRPr="00232EBB" w:rsidRDefault="00D74FBA" w:rsidP="00E2462C">
            <w:pPr>
              <w:spacing w:after="0" w:line="240" w:lineRule="auto"/>
              <w:jc w:val="center"/>
              <w:rPr>
                <w:rFonts w:eastAsia="Times New Roman"/>
                <w:spacing w:val="0"/>
                <w:sz w:val="18"/>
                <w:szCs w:val="18"/>
              </w:rPr>
            </w:pPr>
            <w:r>
              <w:rPr>
                <w:rFonts w:eastAsia="Times New Roman"/>
                <w:spacing w:val="0"/>
                <w:sz w:val="18"/>
                <w:szCs w:val="18"/>
              </w:rPr>
              <w:t>100%</w:t>
            </w:r>
          </w:p>
        </w:tc>
        <w:tc>
          <w:tcPr>
            <w:tcW w:w="246" w:type="dxa"/>
            <w:vAlign w:val="center"/>
            <w:hideMark/>
          </w:tcPr>
          <w:p w14:paraId="4AFF84BE" w14:textId="77777777" w:rsidR="00E2462C" w:rsidRPr="00232EBB" w:rsidRDefault="00E2462C" w:rsidP="00E2462C">
            <w:pPr>
              <w:spacing w:after="0" w:line="240" w:lineRule="auto"/>
              <w:rPr>
                <w:rFonts w:eastAsia="Times New Roman"/>
                <w:color w:val="auto"/>
                <w:spacing w:val="0"/>
                <w:sz w:val="20"/>
                <w:szCs w:val="20"/>
              </w:rPr>
            </w:pPr>
          </w:p>
        </w:tc>
      </w:tr>
      <w:tr w:rsidR="0024181E" w:rsidRPr="00232EBB" w14:paraId="1271E591" w14:textId="77777777" w:rsidTr="0024181E">
        <w:trPr>
          <w:trHeight w:val="870"/>
        </w:trPr>
        <w:tc>
          <w:tcPr>
            <w:tcW w:w="1549" w:type="dxa"/>
            <w:tcBorders>
              <w:top w:val="nil"/>
              <w:left w:val="single" w:sz="8" w:space="0" w:color="auto"/>
              <w:bottom w:val="single" w:sz="8" w:space="0" w:color="auto"/>
              <w:right w:val="single" w:sz="8" w:space="0" w:color="auto"/>
            </w:tcBorders>
            <w:shd w:val="clear" w:color="000000" w:fill="FFFFFF"/>
            <w:noWrap/>
            <w:vAlign w:val="center"/>
            <w:hideMark/>
          </w:tcPr>
          <w:p w14:paraId="1CB1D201" w14:textId="6F78397F" w:rsidR="00E2462C" w:rsidRPr="00232EBB" w:rsidRDefault="00704842" w:rsidP="00E2462C">
            <w:pPr>
              <w:spacing w:after="0" w:line="240" w:lineRule="auto"/>
              <w:jc w:val="center"/>
              <w:rPr>
                <w:rFonts w:eastAsia="Times New Roman"/>
                <w:spacing w:val="0"/>
                <w:sz w:val="18"/>
                <w:szCs w:val="18"/>
              </w:rPr>
            </w:pPr>
            <w:r w:rsidRPr="00232EBB">
              <w:rPr>
                <w:rFonts w:eastAsia="Calibri"/>
                <w:spacing w:val="0"/>
                <w:sz w:val="18"/>
                <w:szCs w:val="18"/>
              </w:rPr>
              <w:t>8,477,393.71</w:t>
            </w:r>
          </w:p>
        </w:tc>
        <w:tc>
          <w:tcPr>
            <w:tcW w:w="1204" w:type="dxa"/>
            <w:tcBorders>
              <w:top w:val="nil"/>
              <w:left w:val="nil"/>
              <w:bottom w:val="single" w:sz="8" w:space="0" w:color="auto"/>
              <w:right w:val="single" w:sz="8" w:space="0" w:color="auto"/>
            </w:tcBorders>
            <w:shd w:val="clear" w:color="000000" w:fill="FFFFFF"/>
            <w:noWrap/>
            <w:vAlign w:val="center"/>
            <w:hideMark/>
          </w:tcPr>
          <w:p w14:paraId="6CD23C57" w14:textId="7242F7A6" w:rsidR="00E2462C" w:rsidRPr="00232EBB" w:rsidRDefault="00704842" w:rsidP="00E2462C">
            <w:pPr>
              <w:spacing w:after="0" w:line="240" w:lineRule="auto"/>
              <w:jc w:val="center"/>
              <w:rPr>
                <w:rFonts w:eastAsia="Times New Roman"/>
                <w:spacing w:val="0"/>
                <w:sz w:val="18"/>
                <w:szCs w:val="18"/>
              </w:rPr>
            </w:pPr>
            <w:r w:rsidRPr="00232EBB">
              <w:rPr>
                <w:rFonts w:eastAsia="Times New Roman"/>
                <w:spacing w:val="0"/>
                <w:sz w:val="18"/>
                <w:szCs w:val="18"/>
              </w:rPr>
              <w:t>9,476,744.27</w:t>
            </w:r>
          </w:p>
        </w:tc>
        <w:tc>
          <w:tcPr>
            <w:tcW w:w="1334" w:type="dxa"/>
            <w:tcBorders>
              <w:top w:val="nil"/>
              <w:left w:val="nil"/>
              <w:bottom w:val="single" w:sz="8" w:space="0" w:color="auto"/>
              <w:right w:val="single" w:sz="8" w:space="0" w:color="auto"/>
            </w:tcBorders>
            <w:shd w:val="clear" w:color="000000" w:fill="FFFFFF"/>
            <w:noWrap/>
            <w:vAlign w:val="center"/>
            <w:hideMark/>
          </w:tcPr>
          <w:p w14:paraId="5861B67D" w14:textId="6EA83749" w:rsidR="00E2462C" w:rsidRPr="00232EBB" w:rsidRDefault="00704842" w:rsidP="00E2462C">
            <w:pPr>
              <w:spacing w:after="0" w:line="240" w:lineRule="auto"/>
              <w:jc w:val="center"/>
              <w:rPr>
                <w:rFonts w:eastAsia="Times New Roman"/>
                <w:spacing w:val="0"/>
                <w:sz w:val="18"/>
                <w:szCs w:val="18"/>
              </w:rPr>
            </w:pPr>
            <w:r w:rsidRPr="00232EBB">
              <w:rPr>
                <w:rFonts w:eastAsia="Calibri"/>
                <w:spacing w:val="0"/>
                <w:sz w:val="18"/>
                <w:szCs w:val="18"/>
              </w:rPr>
              <w:t>8,936,314.89</w:t>
            </w:r>
          </w:p>
        </w:tc>
        <w:tc>
          <w:tcPr>
            <w:tcW w:w="1306" w:type="dxa"/>
            <w:tcBorders>
              <w:top w:val="nil"/>
              <w:left w:val="nil"/>
              <w:bottom w:val="single" w:sz="8" w:space="0" w:color="auto"/>
              <w:right w:val="single" w:sz="8" w:space="0" w:color="auto"/>
            </w:tcBorders>
            <w:shd w:val="clear" w:color="000000" w:fill="FFFFFF"/>
            <w:noWrap/>
            <w:vAlign w:val="center"/>
            <w:hideMark/>
          </w:tcPr>
          <w:p w14:paraId="37A2AE01" w14:textId="5DCD17FD" w:rsidR="00E2462C" w:rsidRPr="00232EBB" w:rsidRDefault="00704842" w:rsidP="00E2462C">
            <w:pPr>
              <w:spacing w:after="0" w:line="240" w:lineRule="auto"/>
              <w:jc w:val="center"/>
              <w:rPr>
                <w:rFonts w:eastAsia="Times New Roman"/>
                <w:spacing w:val="0"/>
                <w:sz w:val="18"/>
                <w:szCs w:val="18"/>
              </w:rPr>
            </w:pPr>
            <w:r w:rsidRPr="00232EBB">
              <w:rPr>
                <w:rFonts w:eastAsia="Times New Roman"/>
                <w:spacing w:val="0"/>
                <w:sz w:val="18"/>
                <w:szCs w:val="18"/>
              </w:rPr>
              <w:t>16,643,239.62</w:t>
            </w:r>
          </w:p>
        </w:tc>
        <w:tc>
          <w:tcPr>
            <w:tcW w:w="1286" w:type="dxa"/>
            <w:tcBorders>
              <w:top w:val="nil"/>
              <w:left w:val="nil"/>
              <w:bottom w:val="single" w:sz="8" w:space="0" w:color="auto"/>
              <w:right w:val="single" w:sz="8" w:space="0" w:color="auto"/>
            </w:tcBorders>
            <w:shd w:val="clear" w:color="000000" w:fill="FFFFFF"/>
            <w:noWrap/>
            <w:vAlign w:val="center"/>
            <w:hideMark/>
          </w:tcPr>
          <w:p w14:paraId="76FA38F9" w14:textId="1E03CDF4" w:rsidR="00E2462C" w:rsidRPr="00232EBB" w:rsidRDefault="00704842" w:rsidP="00E2462C">
            <w:pPr>
              <w:spacing w:after="0" w:line="240" w:lineRule="auto"/>
              <w:jc w:val="center"/>
              <w:rPr>
                <w:rFonts w:eastAsia="Times New Roman"/>
                <w:spacing w:val="0"/>
                <w:sz w:val="18"/>
                <w:szCs w:val="18"/>
              </w:rPr>
            </w:pPr>
            <w:r w:rsidRPr="00232EBB">
              <w:rPr>
                <w:rFonts w:eastAsia="Times New Roman"/>
                <w:spacing w:val="0"/>
                <w:sz w:val="18"/>
                <w:szCs w:val="18"/>
              </w:rPr>
              <w:t>16,425,715.24</w:t>
            </w:r>
          </w:p>
        </w:tc>
        <w:tc>
          <w:tcPr>
            <w:tcW w:w="1220" w:type="dxa"/>
            <w:tcBorders>
              <w:top w:val="nil"/>
              <w:left w:val="nil"/>
              <w:bottom w:val="single" w:sz="8" w:space="0" w:color="auto"/>
              <w:right w:val="single" w:sz="8" w:space="0" w:color="auto"/>
            </w:tcBorders>
            <w:shd w:val="clear" w:color="000000" w:fill="FFFFFF"/>
            <w:vAlign w:val="center"/>
            <w:hideMark/>
          </w:tcPr>
          <w:p w14:paraId="786895C6" w14:textId="489E8924" w:rsidR="00E2462C" w:rsidRPr="00232EBB" w:rsidRDefault="005B74F5" w:rsidP="00E2462C">
            <w:pPr>
              <w:spacing w:after="0" w:line="240" w:lineRule="auto"/>
              <w:jc w:val="center"/>
              <w:rPr>
                <w:rFonts w:eastAsia="Times New Roman"/>
                <w:spacing w:val="0"/>
                <w:sz w:val="18"/>
                <w:szCs w:val="18"/>
              </w:rPr>
            </w:pPr>
            <w:r>
              <w:rPr>
                <w:rFonts w:eastAsia="Calibri"/>
                <w:spacing w:val="0"/>
                <w:sz w:val="18"/>
                <w:szCs w:val="18"/>
              </w:rPr>
              <w:t>17,108,889.40</w:t>
            </w:r>
          </w:p>
        </w:tc>
        <w:tc>
          <w:tcPr>
            <w:tcW w:w="2300" w:type="dxa"/>
            <w:tcBorders>
              <w:top w:val="nil"/>
              <w:left w:val="nil"/>
              <w:bottom w:val="single" w:sz="8" w:space="0" w:color="auto"/>
              <w:right w:val="single" w:sz="8" w:space="0" w:color="auto"/>
            </w:tcBorders>
            <w:shd w:val="clear" w:color="000000" w:fill="FFFFFF"/>
            <w:noWrap/>
            <w:vAlign w:val="center"/>
            <w:hideMark/>
          </w:tcPr>
          <w:p w14:paraId="5F46CDBB" w14:textId="5669B74D" w:rsidR="00E2462C" w:rsidRPr="00232EBB" w:rsidRDefault="005B74F5" w:rsidP="00E2462C">
            <w:pPr>
              <w:spacing w:after="0" w:line="240" w:lineRule="auto"/>
              <w:jc w:val="center"/>
              <w:rPr>
                <w:rFonts w:eastAsia="Times New Roman"/>
                <w:spacing w:val="0"/>
                <w:sz w:val="18"/>
                <w:szCs w:val="18"/>
              </w:rPr>
            </w:pPr>
            <w:r>
              <w:rPr>
                <w:rFonts w:eastAsia="Times New Roman"/>
                <w:spacing w:val="0"/>
                <w:sz w:val="18"/>
                <w:szCs w:val="18"/>
              </w:rPr>
              <w:t>127,359,427.16</w:t>
            </w:r>
          </w:p>
        </w:tc>
        <w:tc>
          <w:tcPr>
            <w:tcW w:w="246" w:type="dxa"/>
            <w:vAlign w:val="center"/>
            <w:hideMark/>
          </w:tcPr>
          <w:p w14:paraId="3A4F6210" w14:textId="77777777" w:rsidR="00E2462C" w:rsidRPr="00232EBB" w:rsidRDefault="00E2462C" w:rsidP="00E2462C">
            <w:pPr>
              <w:spacing w:after="0" w:line="240" w:lineRule="auto"/>
              <w:rPr>
                <w:rFonts w:eastAsia="Times New Roman"/>
                <w:color w:val="auto"/>
                <w:spacing w:val="0"/>
                <w:sz w:val="20"/>
                <w:szCs w:val="20"/>
              </w:rPr>
            </w:pPr>
          </w:p>
        </w:tc>
      </w:tr>
      <w:tr w:rsidR="00E2462C" w:rsidRPr="00232EBB" w14:paraId="5A9EBDBC" w14:textId="77777777" w:rsidTr="0024181E">
        <w:trPr>
          <w:trHeight w:val="710"/>
        </w:trPr>
        <w:tc>
          <w:tcPr>
            <w:tcW w:w="4088" w:type="dxa"/>
            <w:gridSpan w:val="3"/>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3680B8C7" w14:textId="08E7A086" w:rsidR="00E2462C" w:rsidRPr="00232EBB" w:rsidRDefault="00C16573" w:rsidP="00E2462C">
            <w:pPr>
              <w:spacing w:after="0" w:line="240" w:lineRule="auto"/>
              <w:jc w:val="center"/>
              <w:rPr>
                <w:rFonts w:eastAsia="Times New Roman"/>
                <w:spacing w:val="0"/>
                <w:sz w:val="18"/>
                <w:szCs w:val="18"/>
              </w:rPr>
            </w:pPr>
            <w:r w:rsidRPr="00232EBB">
              <w:rPr>
                <w:rFonts w:eastAsia="Times New Roman"/>
                <w:spacing w:val="0"/>
                <w:sz w:val="18"/>
                <w:szCs w:val="18"/>
              </w:rPr>
              <w:t>99%</w:t>
            </w:r>
          </w:p>
        </w:tc>
        <w:tc>
          <w:tcPr>
            <w:tcW w:w="3813" w:type="dxa"/>
            <w:gridSpan w:val="3"/>
            <w:tcBorders>
              <w:top w:val="single" w:sz="8" w:space="0" w:color="auto"/>
              <w:left w:val="nil"/>
              <w:bottom w:val="single" w:sz="8" w:space="0" w:color="auto"/>
              <w:right w:val="single" w:sz="8" w:space="0" w:color="000000"/>
            </w:tcBorders>
            <w:shd w:val="clear" w:color="000000" w:fill="FFFFFF"/>
            <w:noWrap/>
            <w:vAlign w:val="center"/>
            <w:hideMark/>
          </w:tcPr>
          <w:p w14:paraId="033D809D" w14:textId="0910EFB8" w:rsidR="00E2462C" w:rsidRPr="00232EBB" w:rsidRDefault="00D74FBA" w:rsidP="00E2462C">
            <w:pPr>
              <w:spacing w:after="0" w:line="240" w:lineRule="auto"/>
              <w:jc w:val="center"/>
              <w:rPr>
                <w:rFonts w:eastAsia="Times New Roman"/>
                <w:spacing w:val="0"/>
                <w:sz w:val="18"/>
                <w:szCs w:val="18"/>
              </w:rPr>
            </w:pPr>
            <w:r>
              <w:rPr>
                <w:rFonts w:eastAsia="Times New Roman"/>
                <w:spacing w:val="0"/>
                <w:sz w:val="18"/>
                <w:szCs w:val="18"/>
              </w:rPr>
              <w:t>99%</w:t>
            </w:r>
          </w:p>
        </w:tc>
        <w:tc>
          <w:tcPr>
            <w:tcW w:w="2300" w:type="dxa"/>
            <w:tcBorders>
              <w:top w:val="nil"/>
              <w:left w:val="nil"/>
              <w:bottom w:val="single" w:sz="8" w:space="0" w:color="auto"/>
              <w:right w:val="single" w:sz="8" w:space="0" w:color="auto"/>
            </w:tcBorders>
            <w:shd w:val="clear" w:color="000000" w:fill="FFFFFF"/>
            <w:noWrap/>
            <w:vAlign w:val="center"/>
            <w:hideMark/>
          </w:tcPr>
          <w:p w14:paraId="697BC419" w14:textId="26763E21" w:rsidR="00E2462C" w:rsidRPr="00232EBB" w:rsidRDefault="00D74FBA" w:rsidP="00E2462C">
            <w:pPr>
              <w:spacing w:after="0" w:line="240" w:lineRule="auto"/>
              <w:jc w:val="center"/>
              <w:rPr>
                <w:rFonts w:eastAsia="Times New Roman"/>
                <w:spacing w:val="0"/>
                <w:sz w:val="18"/>
                <w:szCs w:val="18"/>
              </w:rPr>
            </w:pPr>
            <w:r>
              <w:rPr>
                <w:rFonts w:eastAsia="Times New Roman"/>
                <w:spacing w:val="0"/>
                <w:sz w:val="18"/>
                <w:szCs w:val="18"/>
              </w:rPr>
              <w:t>104.22%</w:t>
            </w:r>
          </w:p>
        </w:tc>
        <w:tc>
          <w:tcPr>
            <w:tcW w:w="246" w:type="dxa"/>
            <w:vAlign w:val="center"/>
            <w:hideMark/>
          </w:tcPr>
          <w:p w14:paraId="4C1EF4B6" w14:textId="77777777" w:rsidR="00E2462C" w:rsidRPr="00232EBB" w:rsidRDefault="00E2462C" w:rsidP="00E2462C">
            <w:pPr>
              <w:spacing w:after="0" w:line="240" w:lineRule="auto"/>
              <w:rPr>
                <w:rFonts w:eastAsia="Times New Roman"/>
                <w:color w:val="auto"/>
                <w:spacing w:val="0"/>
                <w:sz w:val="20"/>
                <w:szCs w:val="20"/>
              </w:rPr>
            </w:pPr>
          </w:p>
        </w:tc>
      </w:tr>
      <w:tr w:rsidR="0024181E" w:rsidRPr="00232EBB" w14:paraId="4A6772C0" w14:textId="77777777" w:rsidTr="00704842">
        <w:trPr>
          <w:trHeight w:val="870"/>
        </w:trPr>
        <w:tc>
          <w:tcPr>
            <w:tcW w:w="1549" w:type="dxa"/>
            <w:tcBorders>
              <w:top w:val="nil"/>
              <w:left w:val="single" w:sz="8" w:space="0" w:color="auto"/>
              <w:bottom w:val="single" w:sz="8" w:space="0" w:color="auto"/>
              <w:right w:val="single" w:sz="8" w:space="0" w:color="auto"/>
            </w:tcBorders>
            <w:shd w:val="clear" w:color="000000" w:fill="FFFFFF"/>
            <w:noWrap/>
            <w:vAlign w:val="center"/>
          </w:tcPr>
          <w:p w14:paraId="16E1CA6A" w14:textId="265ACC46" w:rsidR="00E2462C" w:rsidRPr="00232EBB" w:rsidRDefault="00704842" w:rsidP="00E2462C">
            <w:pPr>
              <w:spacing w:after="0" w:line="240" w:lineRule="auto"/>
              <w:jc w:val="center"/>
              <w:rPr>
                <w:rFonts w:eastAsia="Times New Roman"/>
                <w:spacing w:val="0"/>
                <w:sz w:val="18"/>
                <w:szCs w:val="18"/>
              </w:rPr>
            </w:pPr>
            <w:r w:rsidRPr="00232EBB">
              <w:rPr>
                <w:rFonts w:eastAsia="Times New Roman"/>
                <w:spacing w:val="0"/>
                <w:sz w:val="18"/>
                <w:szCs w:val="18"/>
              </w:rPr>
              <w:t>2,969,932.06</w:t>
            </w:r>
          </w:p>
        </w:tc>
        <w:tc>
          <w:tcPr>
            <w:tcW w:w="1204" w:type="dxa"/>
            <w:tcBorders>
              <w:top w:val="nil"/>
              <w:left w:val="nil"/>
              <w:bottom w:val="single" w:sz="8" w:space="0" w:color="auto"/>
              <w:right w:val="single" w:sz="8" w:space="0" w:color="auto"/>
            </w:tcBorders>
            <w:shd w:val="clear" w:color="000000" w:fill="FFFFFF"/>
            <w:noWrap/>
            <w:vAlign w:val="center"/>
          </w:tcPr>
          <w:p w14:paraId="6F1EF44F" w14:textId="351B1187" w:rsidR="00E2462C" w:rsidRPr="00232EBB" w:rsidRDefault="00704842" w:rsidP="00E2462C">
            <w:pPr>
              <w:spacing w:after="0" w:line="240" w:lineRule="auto"/>
              <w:jc w:val="center"/>
              <w:rPr>
                <w:rFonts w:eastAsia="Times New Roman"/>
                <w:spacing w:val="0"/>
                <w:sz w:val="18"/>
                <w:szCs w:val="18"/>
              </w:rPr>
            </w:pPr>
            <w:r w:rsidRPr="00232EBB">
              <w:rPr>
                <w:rFonts w:eastAsia="Times New Roman"/>
                <w:spacing w:val="0"/>
                <w:sz w:val="18"/>
                <w:szCs w:val="18"/>
              </w:rPr>
              <w:t>2,992,019.95</w:t>
            </w:r>
          </w:p>
        </w:tc>
        <w:tc>
          <w:tcPr>
            <w:tcW w:w="1334" w:type="dxa"/>
            <w:tcBorders>
              <w:top w:val="nil"/>
              <w:left w:val="nil"/>
              <w:bottom w:val="single" w:sz="8" w:space="0" w:color="auto"/>
              <w:right w:val="single" w:sz="8" w:space="0" w:color="auto"/>
            </w:tcBorders>
            <w:shd w:val="clear" w:color="000000" w:fill="FFFFFF"/>
            <w:noWrap/>
            <w:vAlign w:val="center"/>
          </w:tcPr>
          <w:p w14:paraId="118F768F" w14:textId="710EFE67" w:rsidR="00E2462C" w:rsidRPr="00232EBB" w:rsidRDefault="00704842" w:rsidP="00E2462C">
            <w:pPr>
              <w:spacing w:after="0" w:line="240" w:lineRule="auto"/>
              <w:jc w:val="center"/>
              <w:rPr>
                <w:rFonts w:eastAsia="Times New Roman"/>
                <w:spacing w:val="0"/>
                <w:sz w:val="18"/>
                <w:szCs w:val="18"/>
              </w:rPr>
            </w:pPr>
            <w:r w:rsidRPr="00232EBB">
              <w:rPr>
                <w:rFonts w:eastAsia="Times New Roman"/>
                <w:spacing w:val="0"/>
                <w:sz w:val="18"/>
                <w:szCs w:val="18"/>
              </w:rPr>
              <w:t>3,200,426.49</w:t>
            </w:r>
          </w:p>
        </w:tc>
        <w:tc>
          <w:tcPr>
            <w:tcW w:w="1306" w:type="dxa"/>
            <w:tcBorders>
              <w:top w:val="nil"/>
              <w:left w:val="nil"/>
              <w:bottom w:val="single" w:sz="8" w:space="0" w:color="auto"/>
              <w:right w:val="single" w:sz="8" w:space="0" w:color="auto"/>
            </w:tcBorders>
            <w:shd w:val="clear" w:color="000000" w:fill="FFFFFF"/>
            <w:noWrap/>
            <w:vAlign w:val="center"/>
          </w:tcPr>
          <w:p w14:paraId="47C4092A" w14:textId="2B533BA7" w:rsidR="00E2462C" w:rsidRPr="00232EBB" w:rsidRDefault="00704842" w:rsidP="00E2462C">
            <w:pPr>
              <w:spacing w:after="0" w:line="240" w:lineRule="auto"/>
              <w:jc w:val="center"/>
              <w:rPr>
                <w:rFonts w:eastAsia="Times New Roman"/>
                <w:spacing w:val="0"/>
                <w:sz w:val="18"/>
                <w:szCs w:val="18"/>
              </w:rPr>
            </w:pPr>
            <w:r w:rsidRPr="00232EBB">
              <w:rPr>
                <w:rFonts w:eastAsia="Times New Roman"/>
                <w:spacing w:val="0"/>
                <w:sz w:val="18"/>
                <w:szCs w:val="18"/>
              </w:rPr>
              <w:t>5,795,226.49</w:t>
            </w:r>
          </w:p>
        </w:tc>
        <w:tc>
          <w:tcPr>
            <w:tcW w:w="1286" w:type="dxa"/>
            <w:tcBorders>
              <w:top w:val="nil"/>
              <w:left w:val="nil"/>
              <w:bottom w:val="single" w:sz="8" w:space="0" w:color="auto"/>
              <w:right w:val="single" w:sz="8" w:space="0" w:color="auto"/>
            </w:tcBorders>
            <w:shd w:val="clear" w:color="000000" w:fill="FFFFFF"/>
            <w:noWrap/>
            <w:vAlign w:val="center"/>
          </w:tcPr>
          <w:p w14:paraId="46A07975" w14:textId="676B0F14" w:rsidR="00E2462C" w:rsidRPr="00232EBB" w:rsidRDefault="00704842" w:rsidP="00E2462C">
            <w:pPr>
              <w:spacing w:after="0" w:line="240" w:lineRule="auto"/>
              <w:jc w:val="center"/>
              <w:rPr>
                <w:rFonts w:eastAsia="Times New Roman"/>
                <w:spacing w:val="0"/>
                <w:sz w:val="18"/>
                <w:szCs w:val="18"/>
              </w:rPr>
            </w:pPr>
            <w:r w:rsidRPr="00232EBB">
              <w:rPr>
                <w:rFonts w:eastAsia="Times New Roman"/>
                <w:spacing w:val="0"/>
                <w:sz w:val="18"/>
                <w:szCs w:val="18"/>
              </w:rPr>
              <w:t>5,895,692.61</w:t>
            </w:r>
          </w:p>
        </w:tc>
        <w:tc>
          <w:tcPr>
            <w:tcW w:w="1220" w:type="dxa"/>
            <w:tcBorders>
              <w:top w:val="nil"/>
              <w:left w:val="nil"/>
              <w:bottom w:val="single" w:sz="8" w:space="0" w:color="auto"/>
              <w:right w:val="single" w:sz="8" w:space="0" w:color="auto"/>
            </w:tcBorders>
            <w:shd w:val="clear" w:color="000000" w:fill="FFFFFF"/>
            <w:vAlign w:val="center"/>
            <w:hideMark/>
          </w:tcPr>
          <w:p w14:paraId="1560583F" w14:textId="2ACEEAEC" w:rsidR="00E2462C" w:rsidRPr="00232EBB" w:rsidRDefault="005B74F5" w:rsidP="00E2462C">
            <w:pPr>
              <w:spacing w:after="0" w:line="240" w:lineRule="auto"/>
              <w:jc w:val="center"/>
              <w:rPr>
                <w:rFonts w:eastAsia="Times New Roman"/>
                <w:spacing w:val="0"/>
                <w:sz w:val="18"/>
                <w:szCs w:val="18"/>
              </w:rPr>
            </w:pPr>
            <w:r>
              <w:rPr>
                <w:rFonts w:eastAsia="Calibri"/>
                <w:spacing w:val="0"/>
                <w:sz w:val="18"/>
                <w:szCs w:val="18"/>
              </w:rPr>
              <w:t>6,081,392.63</w:t>
            </w:r>
          </w:p>
        </w:tc>
        <w:tc>
          <w:tcPr>
            <w:tcW w:w="2300" w:type="dxa"/>
            <w:tcBorders>
              <w:top w:val="nil"/>
              <w:left w:val="nil"/>
              <w:bottom w:val="single" w:sz="8" w:space="0" w:color="auto"/>
              <w:right w:val="single" w:sz="8" w:space="0" w:color="auto"/>
            </w:tcBorders>
            <w:shd w:val="clear" w:color="000000" w:fill="FFFFFF"/>
            <w:noWrap/>
            <w:vAlign w:val="center"/>
            <w:hideMark/>
          </w:tcPr>
          <w:p w14:paraId="2C261B17" w14:textId="1F01F637" w:rsidR="00E2462C" w:rsidRPr="00232EBB" w:rsidRDefault="005B74F5" w:rsidP="00E2462C">
            <w:pPr>
              <w:spacing w:after="0" w:line="240" w:lineRule="auto"/>
              <w:jc w:val="center"/>
              <w:rPr>
                <w:rFonts w:eastAsia="Times New Roman"/>
                <w:spacing w:val="0"/>
                <w:sz w:val="18"/>
                <w:szCs w:val="18"/>
              </w:rPr>
            </w:pPr>
            <w:r>
              <w:rPr>
                <w:rFonts w:eastAsia="Times New Roman"/>
                <w:spacing w:val="0"/>
                <w:sz w:val="18"/>
                <w:szCs w:val="18"/>
              </w:rPr>
              <w:t>47,622,778.63</w:t>
            </w:r>
          </w:p>
        </w:tc>
        <w:tc>
          <w:tcPr>
            <w:tcW w:w="246" w:type="dxa"/>
            <w:vAlign w:val="center"/>
            <w:hideMark/>
          </w:tcPr>
          <w:p w14:paraId="4CEA0FA8" w14:textId="77777777" w:rsidR="00E2462C" w:rsidRPr="00232EBB" w:rsidRDefault="00E2462C" w:rsidP="00E2462C">
            <w:pPr>
              <w:spacing w:after="0" w:line="240" w:lineRule="auto"/>
              <w:rPr>
                <w:rFonts w:eastAsia="Times New Roman"/>
                <w:color w:val="auto"/>
                <w:spacing w:val="0"/>
                <w:sz w:val="20"/>
                <w:szCs w:val="20"/>
              </w:rPr>
            </w:pPr>
          </w:p>
        </w:tc>
      </w:tr>
    </w:tbl>
    <w:p w14:paraId="074BA40E" w14:textId="5FA27830" w:rsidR="00E2462C" w:rsidRPr="00232EBB" w:rsidRDefault="000A65D8" w:rsidP="00256FFA">
      <w:pPr>
        <w:ind w:left="-990"/>
        <w:rPr>
          <w:rFonts w:eastAsia="Calibri"/>
          <w:sz w:val="18"/>
          <w:szCs w:val="18"/>
          <w:lang w:val="es-DO"/>
        </w:rPr>
      </w:pPr>
      <w:r w:rsidRPr="00232EBB">
        <w:rPr>
          <w:rFonts w:eastAsia="Calibri"/>
          <w:b/>
          <w:bCs/>
          <w:sz w:val="18"/>
          <w:szCs w:val="18"/>
          <w:lang w:val="es-DO"/>
        </w:rPr>
        <w:t xml:space="preserve">                        Fuente:</w:t>
      </w:r>
      <w:r w:rsidRPr="00232EBB">
        <w:rPr>
          <w:rFonts w:eastAsia="Calibri"/>
          <w:sz w:val="18"/>
          <w:szCs w:val="18"/>
          <w:lang w:val="es-DO"/>
        </w:rPr>
        <w:t xml:space="preserve"> Datos Internos Tesorería de la Seguridad Social Ejecución Devengado al 3</w:t>
      </w:r>
      <w:r w:rsidR="005B74F5">
        <w:rPr>
          <w:rFonts w:eastAsia="Calibri"/>
          <w:sz w:val="18"/>
          <w:szCs w:val="18"/>
          <w:lang w:val="es-DO"/>
        </w:rPr>
        <w:t>1</w:t>
      </w:r>
      <w:r w:rsidRPr="00232EBB">
        <w:rPr>
          <w:rFonts w:eastAsia="Calibri"/>
          <w:sz w:val="18"/>
          <w:szCs w:val="18"/>
          <w:lang w:val="es-DO"/>
        </w:rPr>
        <w:t xml:space="preserve"> de </w:t>
      </w:r>
      <w:r w:rsidR="005B74F5">
        <w:rPr>
          <w:rFonts w:eastAsia="Calibri"/>
          <w:sz w:val="18"/>
          <w:szCs w:val="18"/>
          <w:lang w:val="es-DO"/>
        </w:rPr>
        <w:t>diciembre</w:t>
      </w:r>
      <w:r w:rsidRPr="00232EBB">
        <w:rPr>
          <w:rFonts w:eastAsia="Calibri"/>
          <w:sz w:val="18"/>
          <w:szCs w:val="18"/>
          <w:lang w:val="es-DO"/>
        </w:rPr>
        <w:t xml:space="preserve"> del 202</w:t>
      </w:r>
      <w:r w:rsidR="00457D2E" w:rsidRPr="00232EBB">
        <w:rPr>
          <w:rFonts w:eastAsia="Calibri"/>
          <w:sz w:val="18"/>
          <w:szCs w:val="18"/>
          <w:lang w:val="es-DO"/>
        </w:rPr>
        <w:t>5</w:t>
      </w:r>
      <w:r w:rsidRPr="00232EBB">
        <w:rPr>
          <w:rFonts w:eastAsia="Calibri"/>
          <w:sz w:val="18"/>
          <w:szCs w:val="18"/>
          <w:lang w:val="es-DO"/>
        </w:rPr>
        <w:t>.</w:t>
      </w:r>
    </w:p>
    <w:tbl>
      <w:tblPr>
        <w:tblStyle w:val="TableGrid"/>
        <w:tblpPr w:leftFromText="141" w:rightFromText="141" w:vertAnchor="page" w:horzAnchor="margin" w:tblpY="2037"/>
        <w:tblW w:w="11701" w:type="dxa"/>
        <w:tblLook w:val="04A0" w:firstRow="1" w:lastRow="0" w:firstColumn="1" w:lastColumn="0" w:noHBand="0" w:noVBand="1"/>
      </w:tblPr>
      <w:tblGrid>
        <w:gridCol w:w="535"/>
        <w:gridCol w:w="1788"/>
        <w:gridCol w:w="1664"/>
        <w:gridCol w:w="1741"/>
        <w:gridCol w:w="1551"/>
        <w:gridCol w:w="1184"/>
        <w:gridCol w:w="1157"/>
        <w:gridCol w:w="2081"/>
      </w:tblGrid>
      <w:tr w:rsidR="001E67A6" w:rsidRPr="00232EBB" w14:paraId="775BFEEC" w14:textId="77777777" w:rsidTr="001E67A6">
        <w:trPr>
          <w:trHeight w:val="682"/>
          <w:tblHeader/>
        </w:trPr>
        <w:tc>
          <w:tcPr>
            <w:tcW w:w="535" w:type="dxa"/>
            <w:shd w:val="clear" w:color="auto" w:fill="1F3864" w:themeFill="accent1" w:themeFillShade="80"/>
            <w:vAlign w:val="center"/>
            <w:hideMark/>
          </w:tcPr>
          <w:p w14:paraId="6C7970F9" w14:textId="77777777" w:rsidR="001E67A6" w:rsidRPr="00232EBB" w:rsidRDefault="001E67A6" w:rsidP="001E67A6">
            <w:pPr>
              <w:jc w:val="center"/>
              <w:rPr>
                <w:rFonts w:ascii="Times New Roman" w:hAnsi="Times New Roman" w:cs="Times New Roman"/>
                <w:b/>
                <w:bCs/>
                <w:lang w:val="es-DO" w:eastAsia="es-DO"/>
              </w:rPr>
            </w:pPr>
            <w:r w:rsidRPr="00232EBB">
              <w:rPr>
                <w:rFonts w:ascii="Times New Roman" w:hAnsi="Times New Roman" w:cs="Times New Roman"/>
                <w:b/>
                <w:bCs/>
                <w:color w:val="FFFFFF"/>
                <w:sz w:val="18"/>
                <w:szCs w:val="18"/>
                <w:lang w:val="es-DO" w:eastAsia="es-DO"/>
              </w:rPr>
              <w:lastRenderedPageBreak/>
              <w:t>NO.</w:t>
            </w:r>
          </w:p>
        </w:tc>
        <w:tc>
          <w:tcPr>
            <w:tcW w:w="1788" w:type="dxa"/>
            <w:shd w:val="clear" w:color="auto" w:fill="1F3864" w:themeFill="accent1" w:themeFillShade="80"/>
            <w:vAlign w:val="center"/>
            <w:hideMark/>
          </w:tcPr>
          <w:p w14:paraId="09EFE8FC" w14:textId="77777777" w:rsidR="001E67A6" w:rsidRPr="00232EBB" w:rsidRDefault="001E67A6" w:rsidP="001E67A6">
            <w:pPr>
              <w:jc w:val="center"/>
              <w:rPr>
                <w:rFonts w:ascii="Times New Roman" w:hAnsi="Times New Roman" w:cs="Times New Roman"/>
                <w:b/>
                <w:bCs/>
                <w:lang w:val="es-DO" w:eastAsia="es-DO"/>
              </w:rPr>
            </w:pPr>
            <w:r w:rsidRPr="00232EBB">
              <w:rPr>
                <w:rFonts w:ascii="Times New Roman" w:hAnsi="Times New Roman" w:cs="Times New Roman"/>
                <w:b/>
                <w:bCs/>
                <w:color w:val="FFFFFF"/>
                <w:sz w:val="18"/>
                <w:szCs w:val="18"/>
                <w:lang w:val="es-DO" w:eastAsia="es-DO"/>
              </w:rPr>
              <w:t>ÁREA</w:t>
            </w:r>
          </w:p>
        </w:tc>
        <w:tc>
          <w:tcPr>
            <w:tcW w:w="1664" w:type="dxa"/>
            <w:shd w:val="clear" w:color="auto" w:fill="1F3864" w:themeFill="accent1" w:themeFillShade="80"/>
            <w:vAlign w:val="center"/>
            <w:hideMark/>
          </w:tcPr>
          <w:p w14:paraId="53C9CE02" w14:textId="77777777" w:rsidR="001E67A6" w:rsidRPr="00232EBB" w:rsidRDefault="001E67A6" w:rsidP="001E67A6">
            <w:pPr>
              <w:jc w:val="center"/>
              <w:rPr>
                <w:rFonts w:ascii="Times New Roman" w:hAnsi="Times New Roman" w:cs="Times New Roman"/>
                <w:b/>
                <w:bCs/>
                <w:lang w:val="es-DO" w:eastAsia="es-DO"/>
              </w:rPr>
            </w:pPr>
            <w:r w:rsidRPr="00232EBB">
              <w:rPr>
                <w:rFonts w:ascii="Times New Roman" w:hAnsi="Times New Roman" w:cs="Times New Roman"/>
                <w:b/>
                <w:bCs/>
                <w:color w:val="FFFFFF"/>
                <w:sz w:val="18"/>
                <w:szCs w:val="18"/>
                <w:lang w:val="es-DO" w:eastAsia="es-DO"/>
              </w:rPr>
              <w:t>PROCESO</w:t>
            </w:r>
          </w:p>
        </w:tc>
        <w:tc>
          <w:tcPr>
            <w:tcW w:w="1741" w:type="dxa"/>
            <w:shd w:val="clear" w:color="auto" w:fill="1F3864" w:themeFill="accent1" w:themeFillShade="80"/>
            <w:vAlign w:val="center"/>
          </w:tcPr>
          <w:p w14:paraId="7FF100FC" w14:textId="77777777" w:rsidR="001E67A6" w:rsidRPr="00232EBB" w:rsidRDefault="001E67A6" w:rsidP="001E67A6">
            <w:pPr>
              <w:jc w:val="center"/>
              <w:rPr>
                <w:rFonts w:ascii="Times New Roman" w:hAnsi="Times New Roman" w:cs="Times New Roman"/>
                <w:b/>
                <w:bCs/>
                <w:color w:val="FFFFFF"/>
                <w:sz w:val="18"/>
                <w:szCs w:val="18"/>
                <w:lang w:val="es-DO" w:eastAsia="es-DO"/>
              </w:rPr>
            </w:pPr>
            <w:r w:rsidRPr="00232EBB">
              <w:rPr>
                <w:rFonts w:ascii="Times New Roman" w:hAnsi="Times New Roman" w:cs="Times New Roman"/>
                <w:b/>
                <w:bCs/>
                <w:color w:val="FFFFFF"/>
                <w:sz w:val="18"/>
                <w:szCs w:val="18"/>
                <w:lang w:val="es-DO" w:eastAsia="es-DO"/>
              </w:rPr>
              <w:t>NOMBRE DEL INDICADOR</w:t>
            </w:r>
          </w:p>
        </w:tc>
        <w:tc>
          <w:tcPr>
            <w:tcW w:w="1551" w:type="dxa"/>
            <w:shd w:val="clear" w:color="auto" w:fill="1F3864" w:themeFill="accent1" w:themeFillShade="80"/>
            <w:vAlign w:val="center"/>
            <w:hideMark/>
          </w:tcPr>
          <w:p w14:paraId="5BBFB0B7" w14:textId="77777777" w:rsidR="001E67A6" w:rsidRPr="00232EBB" w:rsidRDefault="001E67A6" w:rsidP="001E67A6">
            <w:pPr>
              <w:jc w:val="center"/>
              <w:rPr>
                <w:rFonts w:ascii="Times New Roman" w:hAnsi="Times New Roman" w:cs="Times New Roman"/>
                <w:b/>
                <w:bCs/>
                <w:lang w:val="es-DO" w:eastAsia="es-DO"/>
              </w:rPr>
            </w:pPr>
            <w:r w:rsidRPr="00232EBB">
              <w:rPr>
                <w:rFonts w:ascii="Times New Roman" w:hAnsi="Times New Roman" w:cs="Times New Roman"/>
                <w:b/>
                <w:bCs/>
                <w:color w:val="FFFFFF"/>
                <w:sz w:val="18"/>
                <w:szCs w:val="18"/>
                <w:lang w:val="es-DO" w:eastAsia="es-DO"/>
              </w:rPr>
              <w:t>FRECUENCIA</w:t>
            </w:r>
          </w:p>
        </w:tc>
        <w:tc>
          <w:tcPr>
            <w:tcW w:w="1184" w:type="dxa"/>
            <w:shd w:val="clear" w:color="auto" w:fill="1F3864" w:themeFill="accent1" w:themeFillShade="80"/>
            <w:vAlign w:val="center"/>
            <w:hideMark/>
          </w:tcPr>
          <w:p w14:paraId="63EB4F58" w14:textId="77777777" w:rsidR="001E67A6" w:rsidRPr="00232EBB" w:rsidRDefault="001E67A6" w:rsidP="001E67A6">
            <w:pPr>
              <w:jc w:val="center"/>
              <w:rPr>
                <w:rFonts w:ascii="Times New Roman" w:hAnsi="Times New Roman" w:cs="Times New Roman"/>
                <w:b/>
                <w:bCs/>
                <w:color w:val="FFFFFF"/>
                <w:sz w:val="18"/>
                <w:szCs w:val="18"/>
                <w:lang w:val="es-DO" w:eastAsia="es-DO"/>
              </w:rPr>
            </w:pPr>
            <w:r w:rsidRPr="00232EBB">
              <w:rPr>
                <w:rFonts w:ascii="Times New Roman" w:hAnsi="Times New Roman" w:cs="Times New Roman"/>
                <w:b/>
                <w:bCs/>
                <w:color w:val="FFFFFF"/>
                <w:sz w:val="18"/>
                <w:szCs w:val="18"/>
                <w:lang w:val="es-DO" w:eastAsia="es-DO"/>
              </w:rPr>
              <w:t>META</w:t>
            </w:r>
          </w:p>
        </w:tc>
        <w:tc>
          <w:tcPr>
            <w:tcW w:w="1157" w:type="dxa"/>
            <w:shd w:val="clear" w:color="auto" w:fill="1F3864" w:themeFill="accent1" w:themeFillShade="80"/>
            <w:vAlign w:val="center"/>
            <w:hideMark/>
          </w:tcPr>
          <w:p w14:paraId="554FCE44" w14:textId="77777777" w:rsidR="001E67A6" w:rsidRPr="00232EBB" w:rsidRDefault="001E67A6" w:rsidP="001E67A6">
            <w:pPr>
              <w:jc w:val="center"/>
              <w:rPr>
                <w:rFonts w:ascii="Times New Roman" w:hAnsi="Times New Roman" w:cs="Times New Roman"/>
                <w:b/>
                <w:bCs/>
                <w:lang w:val="es-DO" w:eastAsia="es-DO"/>
              </w:rPr>
            </w:pPr>
            <w:r w:rsidRPr="00232EBB">
              <w:rPr>
                <w:rFonts w:ascii="Times New Roman" w:hAnsi="Times New Roman" w:cs="Times New Roman"/>
                <w:b/>
                <w:bCs/>
                <w:color w:val="FFFFFF"/>
                <w:sz w:val="18"/>
                <w:szCs w:val="18"/>
                <w:lang w:val="es-DO" w:eastAsia="es-DO"/>
              </w:rPr>
              <w:t>LOGRO</w:t>
            </w:r>
          </w:p>
        </w:tc>
        <w:tc>
          <w:tcPr>
            <w:tcW w:w="2081" w:type="dxa"/>
            <w:shd w:val="clear" w:color="auto" w:fill="1F3864" w:themeFill="accent1" w:themeFillShade="80"/>
            <w:vAlign w:val="center"/>
            <w:hideMark/>
          </w:tcPr>
          <w:p w14:paraId="71A8E4BC" w14:textId="77777777" w:rsidR="001E67A6" w:rsidRPr="00232EBB" w:rsidRDefault="001E67A6" w:rsidP="001E67A6">
            <w:pPr>
              <w:jc w:val="center"/>
              <w:rPr>
                <w:rFonts w:ascii="Times New Roman" w:hAnsi="Times New Roman" w:cs="Times New Roman"/>
                <w:b/>
                <w:bCs/>
                <w:lang w:val="es-DO" w:eastAsia="es-DO"/>
              </w:rPr>
            </w:pPr>
            <w:r w:rsidRPr="00232EBB">
              <w:rPr>
                <w:rFonts w:ascii="Times New Roman" w:hAnsi="Times New Roman" w:cs="Times New Roman"/>
                <w:b/>
                <w:bCs/>
                <w:color w:val="FFFFFF"/>
                <w:sz w:val="18"/>
                <w:szCs w:val="18"/>
                <w:lang w:val="es-DO" w:eastAsia="es-DO"/>
              </w:rPr>
              <w:t>RESULTADO</w:t>
            </w:r>
          </w:p>
        </w:tc>
      </w:tr>
      <w:tr w:rsidR="001E67A6" w:rsidRPr="004622C5" w14:paraId="4FEF9863" w14:textId="77777777" w:rsidTr="001E67A6">
        <w:trPr>
          <w:trHeight w:val="1362"/>
        </w:trPr>
        <w:tc>
          <w:tcPr>
            <w:tcW w:w="535" w:type="dxa"/>
            <w:noWrap/>
            <w:vAlign w:val="center"/>
          </w:tcPr>
          <w:p w14:paraId="1F4FA30A" w14:textId="77777777" w:rsidR="001E67A6" w:rsidRPr="00232EBB" w:rsidRDefault="001E67A6" w:rsidP="001E67A6">
            <w:pPr>
              <w:jc w:val="center"/>
              <w:rPr>
                <w:rFonts w:ascii="Times New Roman" w:eastAsia="Calibri" w:hAnsi="Times New Roman" w:cs="Times New Roman"/>
                <w:color w:val="767171"/>
                <w:spacing w:val="20"/>
                <w:sz w:val="18"/>
                <w:szCs w:val="18"/>
                <w:lang w:val="es-DO" w:eastAsia="es-DO"/>
              </w:rPr>
            </w:pPr>
            <w:r w:rsidRPr="00232EBB">
              <w:rPr>
                <w:rFonts w:ascii="Times New Roman" w:eastAsia="Calibri" w:hAnsi="Times New Roman" w:cs="Times New Roman"/>
                <w:color w:val="767171"/>
                <w:spacing w:val="20"/>
                <w:sz w:val="18"/>
                <w:szCs w:val="18"/>
                <w:lang w:val="es-DO" w:eastAsia="es-DO"/>
              </w:rPr>
              <w:t>1</w:t>
            </w:r>
          </w:p>
        </w:tc>
        <w:tc>
          <w:tcPr>
            <w:tcW w:w="1788" w:type="dxa"/>
            <w:vAlign w:val="center"/>
          </w:tcPr>
          <w:p w14:paraId="4D2E817C"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p>
          <w:p w14:paraId="0C2A5D7F"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p>
          <w:p w14:paraId="505196BF"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Dirección de Fiscalización Externa</w:t>
            </w:r>
          </w:p>
        </w:tc>
        <w:tc>
          <w:tcPr>
            <w:tcW w:w="1664" w:type="dxa"/>
            <w:noWrap/>
            <w:vAlign w:val="center"/>
          </w:tcPr>
          <w:p w14:paraId="6510ED68"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p>
          <w:p w14:paraId="5570AEAF"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p>
          <w:p w14:paraId="5EEA4BBC"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Prestación de servicios</w:t>
            </w:r>
          </w:p>
        </w:tc>
        <w:tc>
          <w:tcPr>
            <w:tcW w:w="1741" w:type="dxa"/>
            <w:vAlign w:val="center"/>
          </w:tcPr>
          <w:p w14:paraId="5D68552B"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Número de actos administrativos emitidos y aceptados como consecuencia del procesos de fiscalización</w:t>
            </w:r>
          </w:p>
        </w:tc>
        <w:tc>
          <w:tcPr>
            <w:tcW w:w="1551" w:type="dxa"/>
            <w:noWrap/>
            <w:vAlign w:val="center"/>
          </w:tcPr>
          <w:p w14:paraId="069845B7"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Trimestral</w:t>
            </w:r>
          </w:p>
        </w:tc>
        <w:tc>
          <w:tcPr>
            <w:tcW w:w="1184" w:type="dxa"/>
            <w:noWrap/>
            <w:vAlign w:val="center"/>
          </w:tcPr>
          <w:p w14:paraId="1AB730F5"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1,650</w:t>
            </w:r>
          </w:p>
        </w:tc>
        <w:tc>
          <w:tcPr>
            <w:tcW w:w="1157" w:type="dxa"/>
            <w:noWrap/>
            <w:vAlign w:val="center"/>
          </w:tcPr>
          <w:p w14:paraId="00DDF8AE" w14:textId="4542516A" w:rsidR="001E67A6" w:rsidRPr="00232EBB" w:rsidRDefault="00E35CDB" w:rsidP="001E67A6">
            <w:pPr>
              <w:pStyle w:val="xxmsonormal"/>
              <w:jc w:val="center"/>
              <w:rPr>
                <w:rFonts w:ascii="Times New Roman" w:eastAsia="Calibri" w:hAnsi="Times New Roman" w:cs="Times New Roman"/>
                <w:color w:val="FF0000"/>
                <w:spacing w:val="20"/>
                <w:sz w:val="18"/>
                <w:szCs w:val="18"/>
              </w:rPr>
            </w:pPr>
            <w:r w:rsidRPr="00232EBB">
              <w:rPr>
                <w:rFonts w:ascii="Times New Roman" w:eastAsia="Calibri" w:hAnsi="Times New Roman" w:cs="Times New Roman"/>
                <w:color w:val="767171"/>
                <w:spacing w:val="20"/>
                <w:sz w:val="18"/>
                <w:szCs w:val="18"/>
              </w:rPr>
              <w:t>1,117</w:t>
            </w:r>
          </w:p>
        </w:tc>
        <w:tc>
          <w:tcPr>
            <w:tcW w:w="2081" w:type="dxa"/>
            <w:noWrap/>
            <w:vAlign w:val="center"/>
          </w:tcPr>
          <w:p w14:paraId="5E99DE3C"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Disminuido los índices de evasión y omisión para el fortalecimiento del SDSS.</w:t>
            </w:r>
          </w:p>
        </w:tc>
      </w:tr>
      <w:tr w:rsidR="001E67A6" w:rsidRPr="004622C5" w14:paraId="01375747" w14:textId="77777777" w:rsidTr="001E67A6">
        <w:trPr>
          <w:trHeight w:val="796"/>
        </w:trPr>
        <w:tc>
          <w:tcPr>
            <w:tcW w:w="535" w:type="dxa"/>
            <w:noWrap/>
            <w:vAlign w:val="center"/>
          </w:tcPr>
          <w:p w14:paraId="35B5E52F" w14:textId="77777777" w:rsidR="001E67A6" w:rsidRPr="00232EBB" w:rsidRDefault="001E67A6" w:rsidP="001E67A6">
            <w:pPr>
              <w:jc w:val="center"/>
              <w:rPr>
                <w:rFonts w:ascii="Times New Roman" w:eastAsia="Calibri" w:hAnsi="Times New Roman" w:cs="Times New Roman"/>
                <w:color w:val="767171"/>
                <w:spacing w:val="20"/>
                <w:sz w:val="18"/>
                <w:szCs w:val="18"/>
                <w:lang w:val="es-DO" w:eastAsia="es-DO"/>
              </w:rPr>
            </w:pPr>
            <w:r w:rsidRPr="00232EBB">
              <w:rPr>
                <w:rFonts w:ascii="Times New Roman" w:eastAsia="Calibri" w:hAnsi="Times New Roman" w:cs="Times New Roman"/>
                <w:color w:val="767171"/>
                <w:spacing w:val="20"/>
                <w:sz w:val="18"/>
                <w:szCs w:val="18"/>
                <w:lang w:val="es-DO" w:eastAsia="es-DO"/>
              </w:rPr>
              <w:t>2</w:t>
            </w:r>
          </w:p>
        </w:tc>
        <w:tc>
          <w:tcPr>
            <w:tcW w:w="1788" w:type="dxa"/>
            <w:vAlign w:val="center"/>
          </w:tcPr>
          <w:p w14:paraId="1E260009"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p>
          <w:p w14:paraId="32DC2972"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Dirección Jurídica</w:t>
            </w:r>
          </w:p>
        </w:tc>
        <w:tc>
          <w:tcPr>
            <w:tcW w:w="1664" w:type="dxa"/>
            <w:noWrap/>
            <w:vAlign w:val="center"/>
          </w:tcPr>
          <w:p w14:paraId="432EBB87"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p>
          <w:p w14:paraId="72DCFDF6"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p>
          <w:p w14:paraId="2307B0FE"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Prestación de servicios</w:t>
            </w:r>
          </w:p>
        </w:tc>
        <w:tc>
          <w:tcPr>
            <w:tcW w:w="1741" w:type="dxa"/>
            <w:vAlign w:val="center"/>
          </w:tcPr>
          <w:p w14:paraId="791DC607"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p>
          <w:p w14:paraId="0642FEDF"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p>
          <w:p w14:paraId="53385C18"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Índice de recaudo</w:t>
            </w:r>
          </w:p>
        </w:tc>
        <w:tc>
          <w:tcPr>
            <w:tcW w:w="1551" w:type="dxa"/>
            <w:noWrap/>
            <w:vAlign w:val="center"/>
          </w:tcPr>
          <w:p w14:paraId="3431EF91"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p>
          <w:p w14:paraId="7AC06843"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p>
          <w:p w14:paraId="426CC355"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Trimestral</w:t>
            </w:r>
          </w:p>
        </w:tc>
        <w:tc>
          <w:tcPr>
            <w:tcW w:w="1184" w:type="dxa"/>
            <w:noWrap/>
            <w:vAlign w:val="center"/>
          </w:tcPr>
          <w:p w14:paraId="618E6A6B"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90</w:t>
            </w:r>
          </w:p>
        </w:tc>
        <w:tc>
          <w:tcPr>
            <w:tcW w:w="1157" w:type="dxa"/>
            <w:noWrap/>
            <w:vAlign w:val="center"/>
          </w:tcPr>
          <w:p w14:paraId="2F958335"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96.2%</w:t>
            </w:r>
          </w:p>
        </w:tc>
        <w:tc>
          <w:tcPr>
            <w:tcW w:w="2081" w:type="dxa"/>
            <w:noWrap/>
            <w:vAlign w:val="center"/>
          </w:tcPr>
          <w:p w14:paraId="15D75728"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Incrementados los pagos oportunos entre los empleadores</w:t>
            </w:r>
          </w:p>
        </w:tc>
      </w:tr>
      <w:tr w:rsidR="001E67A6" w:rsidRPr="004622C5" w14:paraId="5A228010" w14:textId="77777777" w:rsidTr="001E67A6">
        <w:trPr>
          <w:trHeight w:val="938"/>
        </w:trPr>
        <w:tc>
          <w:tcPr>
            <w:tcW w:w="535" w:type="dxa"/>
            <w:noWrap/>
            <w:vAlign w:val="center"/>
          </w:tcPr>
          <w:p w14:paraId="431BE5AE" w14:textId="77777777" w:rsidR="001E67A6" w:rsidRPr="00232EBB" w:rsidRDefault="001E67A6" w:rsidP="001E67A6">
            <w:pPr>
              <w:jc w:val="center"/>
              <w:rPr>
                <w:rFonts w:ascii="Times New Roman" w:eastAsia="Calibri" w:hAnsi="Times New Roman" w:cs="Times New Roman"/>
                <w:color w:val="767171"/>
                <w:spacing w:val="20"/>
                <w:sz w:val="18"/>
                <w:szCs w:val="18"/>
                <w:lang w:val="es-DO" w:eastAsia="es-DO"/>
              </w:rPr>
            </w:pPr>
            <w:r w:rsidRPr="00232EBB">
              <w:rPr>
                <w:rFonts w:ascii="Times New Roman" w:eastAsia="Calibri" w:hAnsi="Times New Roman" w:cs="Times New Roman"/>
                <w:color w:val="767171"/>
                <w:spacing w:val="20"/>
                <w:sz w:val="18"/>
                <w:szCs w:val="18"/>
                <w:lang w:val="es-DO" w:eastAsia="es-DO"/>
              </w:rPr>
              <w:t>3</w:t>
            </w:r>
          </w:p>
        </w:tc>
        <w:tc>
          <w:tcPr>
            <w:tcW w:w="1788" w:type="dxa"/>
            <w:vAlign w:val="center"/>
          </w:tcPr>
          <w:p w14:paraId="20472878"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Dirección de Tecnologías de la Información y Comunicaciones</w:t>
            </w:r>
          </w:p>
        </w:tc>
        <w:tc>
          <w:tcPr>
            <w:tcW w:w="1664" w:type="dxa"/>
            <w:noWrap/>
            <w:vAlign w:val="center"/>
          </w:tcPr>
          <w:p w14:paraId="64E843E1"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p>
          <w:p w14:paraId="3D810919"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De apoyo</w:t>
            </w:r>
          </w:p>
        </w:tc>
        <w:tc>
          <w:tcPr>
            <w:tcW w:w="1741" w:type="dxa"/>
            <w:vAlign w:val="center"/>
          </w:tcPr>
          <w:p w14:paraId="1A46CF50"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Cantidad de documentos publicados</w:t>
            </w:r>
          </w:p>
        </w:tc>
        <w:tc>
          <w:tcPr>
            <w:tcW w:w="1551" w:type="dxa"/>
            <w:noWrap/>
            <w:vAlign w:val="center"/>
          </w:tcPr>
          <w:p w14:paraId="298BF1A0"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p>
          <w:p w14:paraId="78C15E7D"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Semestral</w:t>
            </w:r>
          </w:p>
        </w:tc>
        <w:tc>
          <w:tcPr>
            <w:tcW w:w="1184" w:type="dxa"/>
            <w:noWrap/>
            <w:vAlign w:val="center"/>
          </w:tcPr>
          <w:p w14:paraId="2D52D9AC"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2</w:t>
            </w:r>
          </w:p>
        </w:tc>
        <w:tc>
          <w:tcPr>
            <w:tcW w:w="1157" w:type="dxa"/>
            <w:noWrap/>
            <w:vAlign w:val="center"/>
          </w:tcPr>
          <w:p w14:paraId="5E75637D"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2</w:t>
            </w:r>
          </w:p>
        </w:tc>
        <w:tc>
          <w:tcPr>
            <w:tcW w:w="2081" w:type="dxa"/>
            <w:noWrap/>
            <w:vAlign w:val="center"/>
          </w:tcPr>
          <w:p w14:paraId="5876A19A"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Incrementada la difusión de datos y la producción de análisis estadístico respecto al SDSS y el mercado laboral</w:t>
            </w:r>
          </w:p>
        </w:tc>
      </w:tr>
      <w:tr w:rsidR="001E67A6" w:rsidRPr="004622C5" w14:paraId="0EBF43E7" w14:textId="77777777" w:rsidTr="001E67A6">
        <w:trPr>
          <w:trHeight w:val="551"/>
        </w:trPr>
        <w:tc>
          <w:tcPr>
            <w:tcW w:w="535" w:type="dxa"/>
            <w:noWrap/>
            <w:vAlign w:val="center"/>
          </w:tcPr>
          <w:p w14:paraId="7897CDF6" w14:textId="77777777" w:rsidR="001E67A6" w:rsidRPr="00232EBB" w:rsidRDefault="001E67A6" w:rsidP="001E67A6">
            <w:pPr>
              <w:jc w:val="center"/>
              <w:rPr>
                <w:rFonts w:ascii="Times New Roman" w:eastAsia="Calibri" w:hAnsi="Times New Roman" w:cs="Times New Roman"/>
                <w:color w:val="767171"/>
                <w:spacing w:val="20"/>
                <w:sz w:val="18"/>
                <w:szCs w:val="18"/>
                <w:lang w:val="es-DO" w:eastAsia="es-DO"/>
              </w:rPr>
            </w:pPr>
            <w:r w:rsidRPr="00232EBB">
              <w:rPr>
                <w:rFonts w:ascii="Times New Roman" w:eastAsia="Calibri" w:hAnsi="Times New Roman" w:cs="Times New Roman"/>
                <w:color w:val="767171"/>
                <w:spacing w:val="20"/>
                <w:sz w:val="18"/>
                <w:szCs w:val="18"/>
                <w:lang w:val="es-DO" w:eastAsia="es-DO"/>
              </w:rPr>
              <w:t>4</w:t>
            </w:r>
          </w:p>
        </w:tc>
        <w:tc>
          <w:tcPr>
            <w:tcW w:w="1788" w:type="dxa"/>
            <w:vAlign w:val="center"/>
          </w:tcPr>
          <w:p w14:paraId="72C542A3" w14:textId="77777777" w:rsidR="001E67A6" w:rsidRPr="00232EBB" w:rsidRDefault="001E67A6" w:rsidP="001E67A6">
            <w:pPr>
              <w:jc w:val="center"/>
              <w:rPr>
                <w:rFonts w:ascii="Times New Roman" w:eastAsia="Calibri" w:hAnsi="Times New Roman" w:cs="Times New Roman"/>
                <w:color w:val="767171"/>
                <w:spacing w:val="20"/>
                <w:sz w:val="18"/>
                <w:szCs w:val="18"/>
                <w:lang w:val="es-DO" w:eastAsia="es-DO"/>
              </w:rPr>
            </w:pPr>
          </w:p>
          <w:p w14:paraId="149A5331" w14:textId="77777777" w:rsidR="001E67A6" w:rsidRPr="00232EBB" w:rsidRDefault="001E67A6" w:rsidP="001E67A6">
            <w:pPr>
              <w:jc w:val="center"/>
              <w:rPr>
                <w:rFonts w:ascii="Times New Roman" w:eastAsia="Calibri" w:hAnsi="Times New Roman" w:cs="Times New Roman"/>
                <w:color w:val="767171"/>
                <w:spacing w:val="20"/>
                <w:sz w:val="18"/>
                <w:szCs w:val="18"/>
                <w:lang w:val="es-DO" w:eastAsia="es-DO"/>
              </w:rPr>
            </w:pPr>
            <w:r w:rsidRPr="00232EBB">
              <w:rPr>
                <w:rFonts w:ascii="Times New Roman" w:eastAsia="Calibri" w:hAnsi="Times New Roman" w:cs="Times New Roman"/>
                <w:color w:val="767171"/>
                <w:spacing w:val="20"/>
                <w:sz w:val="18"/>
                <w:szCs w:val="18"/>
                <w:lang w:val="es-DO" w:eastAsia="es-DO"/>
              </w:rPr>
              <w:t>Dirección de tecnologías de la información y Comunicaciones</w:t>
            </w:r>
          </w:p>
        </w:tc>
        <w:tc>
          <w:tcPr>
            <w:tcW w:w="1664" w:type="dxa"/>
            <w:noWrap/>
            <w:vAlign w:val="center"/>
          </w:tcPr>
          <w:p w14:paraId="7F762888"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p>
          <w:p w14:paraId="72FDF046"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De apoyo</w:t>
            </w:r>
          </w:p>
        </w:tc>
        <w:tc>
          <w:tcPr>
            <w:tcW w:w="1741" w:type="dxa"/>
            <w:vAlign w:val="center"/>
          </w:tcPr>
          <w:p w14:paraId="12F7ABD6"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p>
          <w:p w14:paraId="4287F4B4"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Cantidad de publicaciones realizadas</w:t>
            </w:r>
          </w:p>
        </w:tc>
        <w:tc>
          <w:tcPr>
            <w:tcW w:w="1551" w:type="dxa"/>
            <w:noWrap/>
            <w:vAlign w:val="center"/>
          </w:tcPr>
          <w:p w14:paraId="74C36D90"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p>
          <w:p w14:paraId="084F14CB"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Semestral</w:t>
            </w:r>
          </w:p>
        </w:tc>
        <w:tc>
          <w:tcPr>
            <w:tcW w:w="1184" w:type="dxa"/>
            <w:noWrap/>
            <w:vAlign w:val="center"/>
          </w:tcPr>
          <w:p w14:paraId="5CDD5D60"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2</w:t>
            </w:r>
          </w:p>
        </w:tc>
        <w:tc>
          <w:tcPr>
            <w:tcW w:w="1157" w:type="dxa"/>
            <w:noWrap/>
            <w:vAlign w:val="center"/>
          </w:tcPr>
          <w:p w14:paraId="33541D78"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2</w:t>
            </w:r>
          </w:p>
        </w:tc>
        <w:tc>
          <w:tcPr>
            <w:tcW w:w="2081" w:type="dxa"/>
            <w:noWrap/>
            <w:vAlign w:val="center"/>
          </w:tcPr>
          <w:p w14:paraId="3CFB4628"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Diseño y elaboración de publicación sistemática de datos respecto al primer empleo</w:t>
            </w:r>
          </w:p>
        </w:tc>
      </w:tr>
      <w:tr w:rsidR="001E67A6" w:rsidRPr="004622C5" w14:paraId="484E9D3F" w14:textId="77777777" w:rsidTr="001E67A6">
        <w:trPr>
          <w:trHeight w:val="551"/>
        </w:trPr>
        <w:tc>
          <w:tcPr>
            <w:tcW w:w="535" w:type="dxa"/>
            <w:noWrap/>
            <w:vAlign w:val="center"/>
          </w:tcPr>
          <w:p w14:paraId="5A9CA073" w14:textId="77777777" w:rsidR="001E67A6" w:rsidRPr="00232EBB" w:rsidRDefault="001E67A6" w:rsidP="001E67A6">
            <w:pPr>
              <w:jc w:val="center"/>
              <w:rPr>
                <w:rFonts w:ascii="Times New Roman" w:eastAsia="Calibri" w:hAnsi="Times New Roman" w:cs="Times New Roman"/>
                <w:sz w:val="18"/>
                <w:szCs w:val="18"/>
                <w:lang w:val="es-DO" w:eastAsia="es-DO"/>
              </w:rPr>
            </w:pPr>
            <w:r w:rsidRPr="00232EBB">
              <w:rPr>
                <w:rFonts w:ascii="Times New Roman" w:eastAsia="Calibri" w:hAnsi="Times New Roman" w:cs="Times New Roman"/>
                <w:color w:val="767171"/>
                <w:spacing w:val="20"/>
                <w:sz w:val="18"/>
                <w:szCs w:val="18"/>
                <w:lang w:val="es-DO" w:eastAsia="es-DO"/>
              </w:rPr>
              <w:t>5</w:t>
            </w:r>
          </w:p>
        </w:tc>
        <w:tc>
          <w:tcPr>
            <w:tcW w:w="1788" w:type="dxa"/>
            <w:vAlign w:val="center"/>
          </w:tcPr>
          <w:p w14:paraId="45C44A12" w14:textId="77777777" w:rsidR="001E67A6" w:rsidRPr="00232EBB" w:rsidRDefault="001E67A6" w:rsidP="001E67A6">
            <w:pPr>
              <w:jc w:val="center"/>
              <w:rPr>
                <w:rFonts w:ascii="Times New Roman" w:eastAsia="Calibri" w:hAnsi="Times New Roman" w:cs="Times New Roman"/>
                <w:sz w:val="18"/>
                <w:szCs w:val="18"/>
                <w:lang w:val="es-DO" w:eastAsia="es-DO"/>
              </w:rPr>
            </w:pPr>
            <w:r w:rsidRPr="00232EBB">
              <w:rPr>
                <w:rFonts w:ascii="Times New Roman" w:eastAsia="Calibri" w:hAnsi="Times New Roman" w:cs="Times New Roman"/>
                <w:color w:val="767171"/>
                <w:spacing w:val="20"/>
                <w:sz w:val="18"/>
                <w:szCs w:val="18"/>
                <w:lang w:val="es-DO" w:eastAsia="es-DO"/>
              </w:rPr>
              <w:t>Dirección de Servicios</w:t>
            </w:r>
          </w:p>
        </w:tc>
        <w:tc>
          <w:tcPr>
            <w:tcW w:w="1664" w:type="dxa"/>
            <w:noWrap/>
            <w:vAlign w:val="center"/>
          </w:tcPr>
          <w:p w14:paraId="165A7CC4"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Misional</w:t>
            </w:r>
          </w:p>
        </w:tc>
        <w:tc>
          <w:tcPr>
            <w:tcW w:w="1741" w:type="dxa"/>
            <w:vAlign w:val="center"/>
          </w:tcPr>
          <w:p w14:paraId="28713815"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Índice de formación ciudadana sobre deberes, procedimientos y aplicación ante la Tesorería de la Seguridad Social</w:t>
            </w:r>
          </w:p>
        </w:tc>
        <w:tc>
          <w:tcPr>
            <w:tcW w:w="1551" w:type="dxa"/>
            <w:noWrap/>
            <w:vAlign w:val="center"/>
          </w:tcPr>
          <w:p w14:paraId="1A813F0B"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Trimestral</w:t>
            </w:r>
          </w:p>
        </w:tc>
        <w:tc>
          <w:tcPr>
            <w:tcW w:w="1184" w:type="dxa"/>
            <w:noWrap/>
            <w:vAlign w:val="center"/>
          </w:tcPr>
          <w:p w14:paraId="6B5C526C"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16,000 H/H</w:t>
            </w:r>
          </w:p>
        </w:tc>
        <w:tc>
          <w:tcPr>
            <w:tcW w:w="1157" w:type="dxa"/>
            <w:noWrap/>
            <w:vAlign w:val="center"/>
          </w:tcPr>
          <w:p w14:paraId="4FD2F9BC"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24,309 H/H</w:t>
            </w:r>
          </w:p>
        </w:tc>
        <w:tc>
          <w:tcPr>
            <w:tcW w:w="2081" w:type="dxa"/>
            <w:noWrap/>
            <w:vAlign w:val="center"/>
          </w:tcPr>
          <w:p w14:paraId="6BC38EEA" w14:textId="77777777" w:rsidR="001E67A6" w:rsidRPr="00232EBB" w:rsidRDefault="001E67A6" w:rsidP="001E67A6">
            <w:pPr>
              <w:pStyle w:val="xxmsonormal"/>
              <w:jc w:val="center"/>
              <w:rPr>
                <w:rFonts w:ascii="Times New Roman" w:eastAsia="Calibri" w:hAnsi="Times New Roman" w:cs="Times New Roman"/>
                <w:color w:val="767171"/>
                <w:spacing w:val="20"/>
                <w:sz w:val="18"/>
                <w:szCs w:val="18"/>
              </w:rPr>
            </w:pPr>
            <w:r w:rsidRPr="00232EBB">
              <w:rPr>
                <w:rFonts w:ascii="Times New Roman" w:eastAsia="Calibri" w:hAnsi="Times New Roman" w:cs="Times New Roman"/>
                <w:color w:val="767171"/>
                <w:spacing w:val="20"/>
                <w:sz w:val="18"/>
                <w:szCs w:val="18"/>
              </w:rPr>
              <w:t>Aumentado el conocimiento de la población sobre Seguridad Social, uso responsable del SUIR y obligación del empleador sobre el SDSS</w:t>
            </w:r>
          </w:p>
        </w:tc>
      </w:tr>
    </w:tbl>
    <w:p w14:paraId="17D48B7B" w14:textId="19596836" w:rsidR="009A7266" w:rsidRPr="00232EBB" w:rsidRDefault="000A65D8" w:rsidP="00917857">
      <w:pPr>
        <w:keepNext/>
        <w:keepLines/>
        <w:spacing w:before="240" w:after="240"/>
        <w:ind w:left="-2160"/>
        <w:jc w:val="center"/>
        <w:outlineLvl w:val="0"/>
        <w:rPr>
          <w:rFonts w:eastAsiaTheme="majorEastAsia"/>
          <w:b/>
          <w:color w:val="767171" w:themeColor="background2" w:themeShade="80"/>
          <w:spacing w:val="0"/>
          <w:sz w:val="28"/>
          <w:szCs w:val="32"/>
          <w:lang w:val="es-DO"/>
        </w:rPr>
      </w:pPr>
      <w:r w:rsidRPr="00232EBB">
        <w:rPr>
          <w:rFonts w:eastAsiaTheme="majorEastAsia"/>
          <w:b/>
          <w:color w:val="767171" w:themeColor="background2" w:themeShade="80"/>
          <w:spacing w:val="0"/>
          <w:sz w:val="28"/>
          <w:szCs w:val="32"/>
          <w:lang w:val="es-DO"/>
        </w:rPr>
        <w:t xml:space="preserve">                                          </w:t>
      </w:r>
      <w:bookmarkStart w:id="308" w:name="_Toc216952281"/>
      <w:r w:rsidRPr="00232EBB">
        <w:rPr>
          <w:rFonts w:eastAsiaTheme="majorEastAsia"/>
          <w:b/>
          <w:color w:val="767171" w:themeColor="background2" w:themeShade="80"/>
          <w:spacing w:val="0"/>
          <w:sz w:val="28"/>
          <w:szCs w:val="32"/>
          <w:lang w:val="es-DO"/>
        </w:rPr>
        <w:t>7.2 Anexo 2: Matriz de los Principales Indicadores de la Gestión por Procesos</w:t>
      </w:r>
      <w:bookmarkEnd w:id="308"/>
    </w:p>
    <w:p w14:paraId="58681D9E" w14:textId="77777777" w:rsidR="00EF44EF" w:rsidRPr="00232EBB" w:rsidRDefault="00EF44EF" w:rsidP="00EF44EF">
      <w:pPr>
        <w:rPr>
          <w:rFonts w:eastAsia="Calibri"/>
          <w:sz w:val="18"/>
          <w:szCs w:val="18"/>
          <w:lang w:val="es-DO"/>
        </w:rPr>
      </w:pPr>
      <w:r w:rsidRPr="00232EBB">
        <w:rPr>
          <w:rFonts w:eastAsia="Calibri"/>
          <w:b/>
          <w:bCs/>
          <w:sz w:val="18"/>
          <w:szCs w:val="18"/>
          <w:lang w:val="es-DO"/>
        </w:rPr>
        <w:t>Fuente</w:t>
      </w:r>
      <w:r w:rsidRPr="00232EBB">
        <w:rPr>
          <w:rFonts w:eastAsia="Calibri"/>
          <w:sz w:val="18"/>
          <w:szCs w:val="18"/>
          <w:lang w:val="es-DO"/>
        </w:rPr>
        <w:t>: Dirección de Planificación y Desarrollo Tesorería de la Seguridad Social</w:t>
      </w:r>
    </w:p>
    <w:p w14:paraId="69557E01" w14:textId="3B8FD756" w:rsidR="000F57D8" w:rsidRPr="00232EBB" w:rsidRDefault="00B778CF" w:rsidP="00EE3355">
      <w:pPr>
        <w:pStyle w:val="Heading1"/>
        <w:spacing w:line="259" w:lineRule="auto"/>
        <w:ind w:left="-1800" w:hanging="90"/>
        <w:rPr>
          <w:rFonts w:eastAsia="Calibri" w:cs="Times New Roman"/>
          <w:sz w:val="18"/>
          <w:szCs w:val="18"/>
          <w:lang w:val="es-DO"/>
        </w:rPr>
      </w:pPr>
      <w:bookmarkStart w:id="309" w:name="_Toc154736758"/>
      <w:bookmarkStart w:id="310" w:name="_Toc216952282"/>
      <w:r w:rsidRPr="00232EBB">
        <w:rPr>
          <w:rFonts w:cs="Times New Roman"/>
          <w:lang w:val="es-DO"/>
        </w:rPr>
        <w:lastRenderedPageBreak/>
        <w:t>7.3 Anexo 3: Matriz Índice de Gestión Presupuestaria Anual (IGP)</w:t>
      </w:r>
      <w:bookmarkEnd w:id="309"/>
      <w:bookmarkEnd w:id="310"/>
    </w:p>
    <w:tbl>
      <w:tblPr>
        <w:tblStyle w:val="TableGrid"/>
        <w:tblpPr w:leftFromText="141" w:rightFromText="141" w:vertAnchor="page" w:horzAnchor="margin" w:tblpY="2036"/>
        <w:tblW w:w="11901" w:type="dxa"/>
        <w:tblLook w:val="04A0" w:firstRow="1" w:lastRow="0" w:firstColumn="1" w:lastColumn="0" w:noHBand="0" w:noVBand="1"/>
      </w:tblPr>
      <w:tblGrid>
        <w:gridCol w:w="1688"/>
        <w:gridCol w:w="2041"/>
        <w:gridCol w:w="2416"/>
        <w:gridCol w:w="2416"/>
        <w:gridCol w:w="1579"/>
        <w:gridCol w:w="1761"/>
      </w:tblGrid>
      <w:tr w:rsidR="001E67A6" w:rsidRPr="00232EBB" w14:paraId="785D7237" w14:textId="77777777" w:rsidTr="001E67A6">
        <w:trPr>
          <w:trHeight w:val="870"/>
          <w:tblHeader/>
        </w:trPr>
        <w:tc>
          <w:tcPr>
            <w:tcW w:w="1688" w:type="dxa"/>
            <w:shd w:val="clear" w:color="auto" w:fill="1F3864" w:themeFill="accent1" w:themeFillShade="80"/>
            <w:vAlign w:val="center"/>
            <w:hideMark/>
          </w:tcPr>
          <w:p w14:paraId="2A4DD7D7" w14:textId="77777777" w:rsidR="001E67A6" w:rsidRPr="00232EBB" w:rsidRDefault="001E67A6" w:rsidP="001E67A6">
            <w:pPr>
              <w:pStyle w:val="xxmsonormal"/>
              <w:spacing w:line="360" w:lineRule="auto"/>
              <w:jc w:val="center"/>
              <w:rPr>
                <w:rFonts w:ascii="Times New Roman" w:hAnsi="Times New Roman" w:cs="Times New Roman"/>
                <w:sz w:val="16"/>
                <w:szCs w:val="16"/>
              </w:rPr>
            </w:pPr>
            <w:bookmarkStart w:id="311" w:name="_Hlk153457498"/>
            <w:r w:rsidRPr="00232EBB">
              <w:rPr>
                <w:rFonts w:ascii="Times New Roman" w:hAnsi="Times New Roman" w:cs="Times New Roman"/>
                <w:b/>
                <w:bCs/>
                <w:color w:val="FFFFFF"/>
                <w:sz w:val="16"/>
                <w:szCs w:val="16"/>
              </w:rPr>
              <w:t>CÓDIGO PROGRAMA / SUBPROGRAMA</w:t>
            </w:r>
          </w:p>
        </w:tc>
        <w:tc>
          <w:tcPr>
            <w:tcW w:w="2041" w:type="dxa"/>
            <w:shd w:val="clear" w:color="auto" w:fill="1F3864" w:themeFill="accent1" w:themeFillShade="80"/>
            <w:vAlign w:val="center"/>
            <w:hideMark/>
          </w:tcPr>
          <w:p w14:paraId="075E1CB0" w14:textId="77777777" w:rsidR="001E67A6" w:rsidRPr="00232EBB" w:rsidRDefault="001E67A6" w:rsidP="001E67A6">
            <w:pPr>
              <w:pStyle w:val="xxmsonormal"/>
              <w:spacing w:line="360" w:lineRule="auto"/>
              <w:jc w:val="center"/>
              <w:rPr>
                <w:rFonts w:ascii="Times New Roman" w:hAnsi="Times New Roman" w:cs="Times New Roman"/>
                <w:sz w:val="16"/>
                <w:szCs w:val="16"/>
              </w:rPr>
            </w:pPr>
            <w:r w:rsidRPr="00232EBB">
              <w:rPr>
                <w:rFonts w:ascii="Times New Roman" w:hAnsi="Times New Roman" w:cs="Times New Roman"/>
                <w:b/>
                <w:bCs/>
                <w:color w:val="FFFFFF"/>
                <w:sz w:val="16"/>
                <w:szCs w:val="16"/>
              </w:rPr>
              <w:t>NOMBRE DEL PROGRAMA</w:t>
            </w:r>
          </w:p>
        </w:tc>
        <w:tc>
          <w:tcPr>
            <w:tcW w:w="2416" w:type="dxa"/>
            <w:shd w:val="clear" w:color="auto" w:fill="1F3864" w:themeFill="accent1" w:themeFillShade="80"/>
            <w:vAlign w:val="center"/>
            <w:hideMark/>
          </w:tcPr>
          <w:p w14:paraId="407F4DA6" w14:textId="77777777" w:rsidR="001E67A6" w:rsidRPr="00232EBB" w:rsidRDefault="001E67A6" w:rsidP="001E67A6">
            <w:pPr>
              <w:pStyle w:val="xxmsonormal"/>
              <w:spacing w:line="360" w:lineRule="auto"/>
              <w:jc w:val="center"/>
              <w:rPr>
                <w:rFonts w:ascii="Times New Roman" w:hAnsi="Times New Roman" w:cs="Times New Roman"/>
                <w:sz w:val="16"/>
                <w:szCs w:val="16"/>
              </w:rPr>
            </w:pPr>
            <w:r w:rsidRPr="00232EBB">
              <w:rPr>
                <w:rFonts w:ascii="Times New Roman" w:hAnsi="Times New Roman" w:cs="Times New Roman"/>
                <w:b/>
                <w:bCs/>
                <w:color w:val="FFFFFF"/>
                <w:sz w:val="16"/>
                <w:szCs w:val="16"/>
              </w:rPr>
              <w:t>ASIGNACIÓN PRESUPUESTARIA 2025(RD$)</w:t>
            </w:r>
          </w:p>
        </w:tc>
        <w:tc>
          <w:tcPr>
            <w:tcW w:w="2416" w:type="dxa"/>
            <w:shd w:val="clear" w:color="auto" w:fill="1F3864" w:themeFill="accent1" w:themeFillShade="80"/>
            <w:vAlign w:val="center"/>
            <w:hideMark/>
          </w:tcPr>
          <w:p w14:paraId="6ED2BE9B" w14:textId="3BEFBB00" w:rsidR="001E67A6" w:rsidRPr="00232EBB" w:rsidRDefault="001E67A6" w:rsidP="001E67A6">
            <w:pPr>
              <w:pStyle w:val="xxmsonormal"/>
              <w:spacing w:line="360" w:lineRule="auto"/>
              <w:jc w:val="center"/>
              <w:rPr>
                <w:rFonts w:ascii="Times New Roman" w:hAnsi="Times New Roman" w:cs="Times New Roman"/>
                <w:sz w:val="16"/>
                <w:szCs w:val="16"/>
              </w:rPr>
            </w:pPr>
            <w:r w:rsidRPr="00232EBB">
              <w:rPr>
                <w:rFonts w:ascii="Times New Roman" w:hAnsi="Times New Roman" w:cs="Times New Roman"/>
                <w:b/>
                <w:bCs/>
                <w:color w:val="FFFFFF"/>
                <w:sz w:val="16"/>
                <w:szCs w:val="16"/>
              </w:rPr>
              <w:t>EJECUCIÓN 2025 (RD$)</w:t>
            </w:r>
          </w:p>
        </w:tc>
        <w:tc>
          <w:tcPr>
            <w:tcW w:w="1579" w:type="dxa"/>
            <w:shd w:val="clear" w:color="auto" w:fill="1F3864" w:themeFill="accent1" w:themeFillShade="80"/>
            <w:vAlign w:val="center"/>
            <w:hideMark/>
          </w:tcPr>
          <w:p w14:paraId="25E73054" w14:textId="77777777" w:rsidR="001E67A6" w:rsidRPr="00232EBB" w:rsidRDefault="001E67A6" w:rsidP="001E67A6">
            <w:pPr>
              <w:pStyle w:val="xxmsonormal"/>
              <w:spacing w:line="360" w:lineRule="auto"/>
              <w:jc w:val="center"/>
              <w:rPr>
                <w:rFonts w:ascii="Times New Roman" w:hAnsi="Times New Roman" w:cs="Times New Roman"/>
                <w:sz w:val="16"/>
                <w:szCs w:val="16"/>
              </w:rPr>
            </w:pPr>
            <w:r w:rsidRPr="00232EBB">
              <w:rPr>
                <w:rFonts w:ascii="Times New Roman" w:hAnsi="Times New Roman" w:cs="Times New Roman"/>
                <w:b/>
                <w:bCs/>
                <w:color w:val="FFFFFF"/>
                <w:sz w:val="16"/>
                <w:szCs w:val="16"/>
              </w:rPr>
              <w:t>CANTIDAD DE PRODUCTOS GENERADOS POR PROGRAMA</w:t>
            </w:r>
          </w:p>
        </w:tc>
        <w:tc>
          <w:tcPr>
            <w:tcW w:w="1761" w:type="dxa"/>
            <w:shd w:val="clear" w:color="auto" w:fill="1F3864" w:themeFill="accent1" w:themeFillShade="80"/>
            <w:vAlign w:val="center"/>
            <w:hideMark/>
          </w:tcPr>
          <w:p w14:paraId="3135CF46" w14:textId="77777777" w:rsidR="001E67A6" w:rsidRPr="00232EBB" w:rsidRDefault="001E67A6" w:rsidP="001E67A6">
            <w:pPr>
              <w:pStyle w:val="xxmsonormal"/>
              <w:spacing w:line="360" w:lineRule="auto"/>
              <w:jc w:val="center"/>
              <w:rPr>
                <w:rFonts w:ascii="Times New Roman" w:hAnsi="Times New Roman" w:cs="Times New Roman"/>
                <w:sz w:val="16"/>
                <w:szCs w:val="16"/>
              </w:rPr>
            </w:pPr>
            <w:r w:rsidRPr="00232EBB">
              <w:rPr>
                <w:rFonts w:ascii="Times New Roman" w:hAnsi="Times New Roman" w:cs="Times New Roman"/>
                <w:b/>
                <w:bCs/>
                <w:color w:val="FFFFFF"/>
                <w:sz w:val="16"/>
                <w:szCs w:val="16"/>
              </w:rPr>
              <w:t>ÍNDICE DE EJECUCIÓN %</w:t>
            </w:r>
          </w:p>
        </w:tc>
      </w:tr>
      <w:tr w:rsidR="001E67A6" w:rsidRPr="00232EBB" w14:paraId="70863EA7" w14:textId="77777777" w:rsidTr="001E67A6">
        <w:trPr>
          <w:trHeight w:val="1358"/>
        </w:trPr>
        <w:tc>
          <w:tcPr>
            <w:tcW w:w="1688" w:type="dxa"/>
            <w:noWrap/>
            <w:vAlign w:val="center"/>
          </w:tcPr>
          <w:p w14:paraId="33F39441" w14:textId="77777777" w:rsidR="001E67A6" w:rsidRPr="00232EBB" w:rsidRDefault="001E67A6" w:rsidP="001E67A6">
            <w:pPr>
              <w:pStyle w:val="xxmsonormal"/>
              <w:spacing w:line="360" w:lineRule="auto"/>
              <w:jc w:val="center"/>
              <w:rPr>
                <w:rFonts w:ascii="Times New Roman" w:eastAsia="Calibri" w:hAnsi="Times New Roman" w:cs="Times New Roman"/>
                <w:color w:val="767171"/>
                <w:spacing w:val="20"/>
                <w:sz w:val="18"/>
                <w:szCs w:val="18"/>
                <w:lang w:eastAsia="en-US"/>
              </w:rPr>
            </w:pPr>
            <w:r w:rsidRPr="00232EBB">
              <w:rPr>
                <w:rFonts w:ascii="Times New Roman" w:eastAsia="Calibri" w:hAnsi="Times New Roman" w:cs="Times New Roman"/>
                <w:color w:val="767171"/>
                <w:spacing w:val="20"/>
                <w:sz w:val="18"/>
                <w:szCs w:val="18"/>
                <w:lang w:eastAsia="en-US"/>
              </w:rPr>
              <w:t>11</w:t>
            </w:r>
          </w:p>
        </w:tc>
        <w:tc>
          <w:tcPr>
            <w:tcW w:w="2041" w:type="dxa"/>
            <w:vAlign w:val="center"/>
          </w:tcPr>
          <w:p w14:paraId="228B4739" w14:textId="77777777" w:rsidR="001E67A6" w:rsidRPr="00232EBB" w:rsidRDefault="001E67A6" w:rsidP="001E67A6">
            <w:pPr>
              <w:pStyle w:val="xxmsonormal"/>
              <w:spacing w:line="360" w:lineRule="auto"/>
              <w:jc w:val="center"/>
              <w:rPr>
                <w:rFonts w:ascii="Times New Roman" w:eastAsia="Calibri" w:hAnsi="Times New Roman" w:cs="Times New Roman"/>
                <w:color w:val="767171"/>
                <w:spacing w:val="20"/>
                <w:sz w:val="18"/>
                <w:szCs w:val="18"/>
                <w:lang w:eastAsia="en-US"/>
              </w:rPr>
            </w:pPr>
            <w:r w:rsidRPr="00232EBB">
              <w:rPr>
                <w:rFonts w:ascii="Times New Roman" w:eastAsia="Calibri" w:hAnsi="Times New Roman" w:cs="Times New Roman"/>
                <w:color w:val="767171"/>
                <w:spacing w:val="20"/>
                <w:sz w:val="18"/>
                <w:szCs w:val="18"/>
                <w:lang w:eastAsia="en-US"/>
              </w:rPr>
              <w:t>Gestión de la Tesorería del Sistema Dominicano de Seguridad Social</w:t>
            </w:r>
          </w:p>
        </w:tc>
        <w:tc>
          <w:tcPr>
            <w:tcW w:w="2416" w:type="dxa"/>
            <w:noWrap/>
            <w:vAlign w:val="center"/>
          </w:tcPr>
          <w:p w14:paraId="543825BB" w14:textId="77777777" w:rsidR="001E67A6" w:rsidRPr="00232EBB" w:rsidRDefault="001E67A6" w:rsidP="001E67A6">
            <w:pPr>
              <w:pStyle w:val="xxmsonormal"/>
              <w:spacing w:line="360" w:lineRule="auto"/>
              <w:jc w:val="center"/>
              <w:rPr>
                <w:rFonts w:ascii="Times New Roman" w:eastAsia="Calibri" w:hAnsi="Times New Roman" w:cs="Times New Roman"/>
                <w:color w:val="767171"/>
                <w:spacing w:val="20"/>
                <w:sz w:val="18"/>
                <w:szCs w:val="18"/>
                <w:lang w:eastAsia="en-US"/>
              </w:rPr>
            </w:pPr>
            <w:r w:rsidRPr="00232EBB">
              <w:rPr>
                <w:rFonts w:ascii="Times New Roman" w:eastAsia="Calibri" w:hAnsi="Times New Roman" w:cs="Times New Roman"/>
                <w:color w:val="767171"/>
                <w:spacing w:val="20"/>
                <w:sz w:val="18"/>
                <w:szCs w:val="18"/>
                <w:lang w:eastAsia="en-US"/>
              </w:rPr>
              <w:t>1,272,620,580.76</w:t>
            </w:r>
          </w:p>
        </w:tc>
        <w:tc>
          <w:tcPr>
            <w:tcW w:w="2416" w:type="dxa"/>
            <w:noWrap/>
            <w:vAlign w:val="center"/>
          </w:tcPr>
          <w:p w14:paraId="090C507A" w14:textId="5B2806DF" w:rsidR="001E67A6" w:rsidRPr="00232EBB" w:rsidRDefault="007275E6" w:rsidP="001E67A6">
            <w:pPr>
              <w:pStyle w:val="xxmsonormal"/>
              <w:spacing w:line="360" w:lineRule="auto"/>
              <w:jc w:val="center"/>
              <w:rPr>
                <w:rFonts w:ascii="Times New Roman" w:eastAsia="Calibri" w:hAnsi="Times New Roman" w:cs="Times New Roman"/>
                <w:color w:val="767171"/>
                <w:spacing w:val="20"/>
                <w:sz w:val="18"/>
                <w:szCs w:val="18"/>
                <w:lang w:eastAsia="en-US"/>
              </w:rPr>
            </w:pPr>
            <w:r>
              <w:rPr>
                <w:rFonts w:ascii="Times New Roman" w:eastAsia="Calibri" w:hAnsi="Times New Roman" w:cs="Times New Roman"/>
                <w:color w:val="767171"/>
                <w:spacing w:val="20"/>
                <w:sz w:val="18"/>
                <w:szCs w:val="18"/>
                <w:lang w:eastAsia="en-US"/>
              </w:rPr>
              <w:t>1,004,194,030.78</w:t>
            </w:r>
          </w:p>
        </w:tc>
        <w:tc>
          <w:tcPr>
            <w:tcW w:w="1579" w:type="dxa"/>
            <w:noWrap/>
            <w:vAlign w:val="center"/>
          </w:tcPr>
          <w:p w14:paraId="38780E1F" w14:textId="77777777" w:rsidR="001E67A6" w:rsidRPr="00232EBB" w:rsidRDefault="001E67A6" w:rsidP="001E67A6">
            <w:pPr>
              <w:pStyle w:val="xxmsonormal"/>
              <w:spacing w:line="360" w:lineRule="auto"/>
              <w:jc w:val="center"/>
              <w:rPr>
                <w:rFonts w:ascii="Times New Roman" w:eastAsia="Calibri" w:hAnsi="Times New Roman" w:cs="Times New Roman"/>
                <w:color w:val="767171"/>
                <w:spacing w:val="20"/>
                <w:sz w:val="18"/>
                <w:szCs w:val="18"/>
                <w:lang w:eastAsia="en-US"/>
              </w:rPr>
            </w:pPr>
            <w:r w:rsidRPr="00232EBB">
              <w:rPr>
                <w:rFonts w:ascii="Times New Roman" w:eastAsia="Calibri" w:hAnsi="Times New Roman" w:cs="Times New Roman"/>
                <w:color w:val="767171"/>
                <w:spacing w:val="20"/>
                <w:sz w:val="18"/>
                <w:szCs w:val="18"/>
                <w:lang w:eastAsia="en-US"/>
              </w:rPr>
              <w:t>4</w:t>
            </w:r>
          </w:p>
        </w:tc>
        <w:tc>
          <w:tcPr>
            <w:tcW w:w="1761" w:type="dxa"/>
            <w:noWrap/>
            <w:vAlign w:val="center"/>
          </w:tcPr>
          <w:p w14:paraId="70C27EC5" w14:textId="5F34D283" w:rsidR="001E67A6" w:rsidRPr="00232EBB" w:rsidRDefault="007275E6" w:rsidP="001E67A6">
            <w:pPr>
              <w:pStyle w:val="xxmsonormal"/>
              <w:spacing w:line="360" w:lineRule="auto"/>
              <w:jc w:val="center"/>
              <w:rPr>
                <w:rFonts w:ascii="Times New Roman" w:eastAsia="Calibri" w:hAnsi="Times New Roman" w:cs="Times New Roman"/>
                <w:color w:val="767171"/>
                <w:spacing w:val="20"/>
                <w:sz w:val="18"/>
                <w:szCs w:val="18"/>
                <w:lang w:eastAsia="en-US"/>
              </w:rPr>
            </w:pPr>
            <w:r>
              <w:rPr>
                <w:rFonts w:ascii="Times New Roman" w:eastAsia="Calibri" w:hAnsi="Times New Roman" w:cs="Times New Roman"/>
                <w:color w:val="767171"/>
                <w:spacing w:val="20"/>
                <w:sz w:val="18"/>
                <w:szCs w:val="18"/>
                <w:lang w:eastAsia="en-US"/>
              </w:rPr>
              <w:t>78.91%</w:t>
            </w:r>
          </w:p>
        </w:tc>
      </w:tr>
      <w:tr w:rsidR="001E67A6" w:rsidRPr="00232EBB" w14:paraId="6E853CED" w14:textId="77777777" w:rsidTr="001E67A6">
        <w:trPr>
          <w:trHeight w:val="991"/>
        </w:trPr>
        <w:tc>
          <w:tcPr>
            <w:tcW w:w="1688" w:type="dxa"/>
            <w:noWrap/>
            <w:vAlign w:val="center"/>
          </w:tcPr>
          <w:p w14:paraId="691E8CDE" w14:textId="77777777" w:rsidR="001E67A6" w:rsidRPr="00232EBB" w:rsidRDefault="001E67A6" w:rsidP="001E67A6">
            <w:pPr>
              <w:pStyle w:val="xxmsonormal"/>
              <w:spacing w:line="360" w:lineRule="auto"/>
              <w:jc w:val="center"/>
              <w:rPr>
                <w:rFonts w:ascii="Times New Roman" w:eastAsia="Calibri" w:hAnsi="Times New Roman" w:cs="Times New Roman"/>
                <w:color w:val="767171"/>
                <w:spacing w:val="20"/>
                <w:sz w:val="18"/>
                <w:szCs w:val="18"/>
                <w:lang w:eastAsia="en-US"/>
              </w:rPr>
            </w:pPr>
            <w:r w:rsidRPr="00232EBB">
              <w:rPr>
                <w:rFonts w:ascii="Times New Roman" w:eastAsia="Calibri" w:hAnsi="Times New Roman" w:cs="Times New Roman"/>
                <w:color w:val="767171"/>
                <w:spacing w:val="20"/>
                <w:sz w:val="18"/>
                <w:szCs w:val="18"/>
                <w:lang w:eastAsia="en-US"/>
              </w:rPr>
              <w:t>98</w:t>
            </w:r>
          </w:p>
        </w:tc>
        <w:tc>
          <w:tcPr>
            <w:tcW w:w="2041" w:type="dxa"/>
            <w:vAlign w:val="center"/>
          </w:tcPr>
          <w:p w14:paraId="540F18C2" w14:textId="77777777" w:rsidR="001E67A6" w:rsidRPr="00232EBB" w:rsidRDefault="001E67A6" w:rsidP="001E67A6">
            <w:pPr>
              <w:pStyle w:val="xxmsonormal"/>
              <w:spacing w:line="360" w:lineRule="auto"/>
              <w:jc w:val="center"/>
              <w:rPr>
                <w:rFonts w:ascii="Times New Roman" w:eastAsia="Calibri" w:hAnsi="Times New Roman" w:cs="Times New Roman"/>
                <w:color w:val="767171"/>
                <w:spacing w:val="20"/>
                <w:sz w:val="18"/>
                <w:szCs w:val="18"/>
                <w:lang w:eastAsia="en-US"/>
              </w:rPr>
            </w:pPr>
            <w:r w:rsidRPr="00232EBB">
              <w:rPr>
                <w:rFonts w:ascii="Times New Roman" w:eastAsia="Calibri" w:hAnsi="Times New Roman" w:cs="Times New Roman"/>
                <w:color w:val="767171"/>
                <w:spacing w:val="20"/>
                <w:sz w:val="18"/>
                <w:szCs w:val="18"/>
                <w:lang w:eastAsia="en-US"/>
              </w:rPr>
              <w:t>Administración de contribuciones especiales</w:t>
            </w:r>
          </w:p>
        </w:tc>
        <w:tc>
          <w:tcPr>
            <w:tcW w:w="2416" w:type="dxa"/>
            <w:noWrap/>
            <w:vAlign w:val="center"/>
          </w:tcPr>
          <w:p w14:paraId="6235AAD5" w14:textId="77777777" w:rsidR="001E67A6" w:rsidRPr="00232EBB" w:rsidRDefault="001E67A6" w:rsidP="001E67A6">
            <w:pPr>
              <w:pStyle w:val="xxmsonormal"/>
              <w:spacing w:line="360" w:lineRule="auto"/>
              <w:jc w:val="center"/>
              <w:rPr>
                <w:rFonts w:ascii="Times New Roman" w:eastAsia="Calibri" w:hAnsi="Times New Roman" w:cs="Times New Roman"/>
                <w:color w:val="767171"/>
                <w:spacing w:val="20"/>
                <w:sz w:val="18"/>
                <w:szCs w:val="18"/>
                <w:lang w:eastAsia="en-US"/>
              </w:rPr>
            </w:pPr>
            <w:r w:rsidRPr="00232EBB">
              <w:rPr>
                <w:rFonts w:ascii="Times New Roman" w:eastAsia="Calibri" w:hAnsi="Times New Roman" w:cs="Times New Roman"/>
                <w:color w:val="767171"/>
                <w:spacing w:val="20"/>
                <w:sz w:val="18"/>
                <w:szCs w:val="18"/>
                <w:lang w:eastAsia="en-US"/>
              </w:rPr>
              <w:t>1,480,028.00</w:t>
            </w:r>
          </w:p>
        </w:tc>
        <w:tc>
          <w:tcPr>
            <w:tcW w:w="2416" w:type="dxa"/>
            <w:noWrap/>
            <w:vAlign w:val="center"/>
          </w:tcPr>
          <w:p w14:paraId="3FE79DD9" w14:textId="77777777" w:rsidR="001E67A6" w:rsidRPr="00232EBB" w:rsidRDefault="001E67A6" w:rsidP="001E67A6">
            <w:pPr>
              <w:pStyle w:val="xxmsonormal"/>
              <w:spacing w:line="360" w:lineRule="auto"/>
              <w:jc w:val="center"/>
              <w:rPr>
                <w:rFonts w:ascii="Times New Roman" w:eastAsia="Calibri" w:hAnsi="Times New Roman" w:cs="Times New Roman"/>
                <w:color w:val="767171"/>
                <w:spacing w:val="20"/>
                <w:sz w:val="18"/>
                <w:szCs w:val="18"/>
                <w:lang w:eastAsia="en-US"/>
              </w:rPr>
            </w:pPr>
            <w:r w:rsidRPr="00232EBB">
              <w:rPr>
                <w:rFonts w:ascii="Times New Roman" w:eastAsia="Calibri" w:hAnsi="Times New Roman" w:cs="Times New Roman"/>
                <w:color w:val="767171"/>
                <w:spacing w:val="20"/>
                <w:sz w:val="18"/>
                <w:szCs w:val="18"/>
                <w:lang w:eastAsia="en-US"/>
              </w:rPr>
              <w:t>1,293,547.26</w:t>
            </w:r>
          </w:p>
        </w:tc>
        <w:tc>
          <w:tcPr>
            <w:tcW w:w="1579" w:type="dxa"/>
            <w:noWrap/>
            <w:vAlign w:val="center"/>
          </w:tcPr>
          <w:p w14:paraId="339F59F6" w14:textId="77777777" w:rsidR="001E67A6" w:rsidRPr="00232EBB" w:rsidRDefault="001E67A6" w:rsidP="001E67A6">
            <w:pPr>
              <w:pStyle w:val="xxmsonormal"/>
              <w:spacing w:line="360" w:lineRule="auto"/>
              <w:jc w:val="center"/>
              <w:rPr>
                <w:rFonts w:ascii="Times New Roman" w:eastAsia="Calibri" w:hAnsi="Times New Roman" w:cs="Times New Roman"/>
                <w:color w:val="767171"/>
                <w:spacing w:val="20"/>
                <w:sz w:val="18"/>
                <w:szCs w:val="18"/>
                <w:lang w:eastAsia="en-US"/>
              </w:rPr>
            </w:pPr>
            <w:r w:rsidRPr="00232EBB">
              <w:rPr>
                <w:rFonts w:ascii="Times New Roman" w:eastAsia="Calibri" w:hAnsi="Times New Roman" w:cs="Times New Roman"/>
                <w:color w:val="767171"/>
                <w:spacing w:val="20"/>
                <w:sz w:val="18"/>
                <w:szCs w:val="18"/>
                <w:lang w:eastAsia="en-US"/>
              </w:rPr>
              <w:t>0</w:t>
            </w:r>
          </w:p>
        </w:tc>
        <w:tc>
          <w:tcPr>
            <w:tcW w:w="1761" w:type="dxa"/>
            <w:noWrap/>
            <w:vAlign w:val="center"/>
          </w:tcPr>
          <w:p w14:paraId="034AFAD4" w14:textId="77777777" w:rsidR="001E67A6" w:rsidRPr="00232EBB" w:rsidRDefault="001E67A6" w:rsidP="001E67A6">
            <w:pPr>
              <w:pStyle w:val="xxmsonormal"/>
              <w:spacing w:line="360" w:lineRule="auto"/>
              <w:jc w:val="center"/>
              <w:rPr>
                <w:rFonts w:ascii="Times New Roman" w:eastAsia="Calibri" w:hAnsi="Times New Roman" w:cs="Times New Roman"/>
                <w:color w:val="767171"/>
                <w:spacing w:val="20"/>
                <w:sz w:val="18"/>
                <w:szCs w:val="18"/>
                <w:lang w:eastAsia="en-US"/>
              </w:rPr>
            </w:pPr>
            <w:r w:rsidRPr="00232EBB">
              <w:rPr>
                <w:rFonts w:ascii="Times New Roman" w:eastAsia="Calibri" w:hAnsi="Times New Roman" w:cs="Times New Roman"/>
                <w:color w:val="767171"/>
                <w:spacing w:val="20"/>
                <w:sz w:val="18"/>
                <w:szCs w:val="18"/>
                <w:lang w:eastAsia="en-US"/>
              </w:rPr>
              <w:t>87.40%</w:t>
            </w:r>
          </w:p>
        </w:tc>
      </w:tr>
      <w:tr w:rsidR="001E67A6" w:rsidRPr="00232EBB" w14:paraId="3A692503" w14:textId="77777777" w:rsidTr="001E67A6">
        <w:trPr>
          <w:trHeight w:val="941"/>
        </w:trPr>
        <w:tc>
          <w:tcPr>
            <w:tcW w:w="1688" w:type="dxa"/>
            <w:noWrap/>
            <w:vAlign w:val="center"/>
          </w:tcPr>
          <w:p w14:paraId="087F4CDC" w14:textId="77777777" w:rsidR="001E67A6" w:rsidRPr="00232EBB" w:rsidRDefault="001E67A6" w:rsidP="001E67A6">
            <w:pPr>
              <w:pStyle w:val="xxmsonormal"/>
              <w:spacing w:line="360" w:lineRule="auto"/>
              <w:jc w:val="center"/>
              <w:rPr>
                <w:rFonts w:ascii="Times New Roman" w:eastAsia="Calibri" w:hAnsi="Times New Roman" w:cs="Times New Roman"/>
                <w:color w:val="767171"/>
                <w:spacing w:val="20"/>
                <w:sz w:val="18"/>
                <w:szCs w:val="18"/>
                <w:lang w:eastAsia="en-US"/>
              </w:rPr>
            </w:pPr>
            <w:r w:rsidRPr="00232EBB">
              <w:rPr>
                <w:rFonts w:ascii="Times New Roman" w:eastAsia="Calibri" w:hAnsi="Times New Roman" w:cs="Times New Roman"/>
                <w:color w:val="767171"/>
                <w:spacing w:val="20"/>
                <w:sz w:val="18"/>
                <w:szCs w:val="18"/>
                <w:lang w:eastAsia="en-US"/>
              </w:rPr>
              <w:t>99</w:t>
            </w:r>
          </w:p>
        </w:tc>
        <w:tc>
          <w:tcPr>
            <w:tcW w:w="2041" w:type="dxa"/>
            <w:vAlign w:val="center"/>
          </w:tcPr>
          <w:p w14:paraId="16B44899" w14:textId="77777777" w:rsidR="001E67A6" w:rsidRPr="00232EBB" w:rsidRDefault="001E67A6" w:rsidP="001E67A6">
            <w:pPr>
              <w:pStyle w:val="xxmsonormal"/>
              <w:spacing w:line="360" w:lineRule="auto"/>
              <w:jc w:val="center"/>
              <w:rPr>
                <w:rFonts w:ascii="Times New Roman" w:eastAsia="Calibri" w:hAnsi="Times New Roman" w:cs="Times New Roman"/>
                <w:color w:val="767171"/>
                <w:spacing w:val="20"/>
                <w:sz w:val="18"/>
                <w:szCs w:val="18"/>
                <w:lang w:eastAsia="en-US"/>
              </w:rPr>
            </w:pPr>
            <w:r w:rsidRPr="00232EBB">
              <w:rPr>
                <w:rFonts w:ascii="Times New Roman" w:eastAsia="Calibri" w:hAnsi="Times New Roman" w:cs="Times New Roman"/>
                <w:color w:val="767171"/>
                <w:spacing w:val="20"/>
                <w:sz w:val="18"/>
                <w:szCs w:val="18"/>
                <w:lang w:eastAsia="en-US"/>
              </w:rPr>
              <w:t>Administración de activos, pasivos y transferencias</w:t>
            </w:r>
          </w:p>
        </w:tc>
        <w:tc>
          <w:tcPr>
            <w:tcW w:w="2416" w:type="dxa"/>
            <w:noWrap/>
            <w:vAlign w:val="center"/>
          </w:tcPr>
          <w:p w14:paraId="1D51E3A9" w14:textId="77777777" w:rsidR="001E67A6" w:rsidRPr="00232EBB" w:rsidRDefault="001E67A6" w:rsidP="001E67A6">
            <w:pPr>
              <w:pStyle w:val="xxmsonormal"/>
              <w:spacing w:line="360" w:lineRule="auto"/>
              <w:jc w:val="center"/>
              <w:rPr>
                <w:rFonts w:ascii="Times New Roman" w:eastAsia="Calibri" w:hAnsi="Times New Roman" w:cs="Times New Roman"/>
                <w:color w:val="767171"/>
                <w:spacing w:val="20"/>
                <w:sz w:val="18"/>
                <w:szCs w:val="18"/>
                <w:lang w:eastAsia="en-US"/>
              </w:rPr>
            </w:pPr>
            <w:r w:rsidRPr="00232EBB">
              <w:rPr>
                <w:rFonts w:ascii="Times New Roman" w:eastAsia="Calibri" w:hAnsi="Times New Roman" w:cs="Times New Roman"/>
                <w:color w:val="767171"/>
                <w:spacing w:val="20"/>
                <w:sz w:val="18"/>
                <w:szCs w:val="18"/>
                <w:lang w:eastAsia="en-US"/>
              </w:rPr>
              <w:t>21,531,560,819.00</w:t>
            </w:r>
          </w:p>
        </w:tc>
        <w:tc>
          <w:tcPr>
            <w:tcW w:w="2416" w:type="dxa"/>
            <w:noWrap/>
            <w:vAlign w:val="center"/>
          </w:tcPr>
          <w:p w14:paraId="69978835" w14:textId="7FFB084D" w:rsidR="001E67A6" w:rsidRPr="00232EBB" w:rsidRDefault="007275E6" w:rsidP="001E67A6">
            <w:pPr>
              <w:pStyle w:val="xxmsonormal"/>
              <w:spacing w:line="360" w:lineRule="auto"/>
              <w:jc w:val="center"/>
              <w:rPr>
                <w:rFonts w:ascii="Times New Roman" w:eastAsia="Calibri" w:hAnsi="Times New Roman" w:cs="Times New Roman"/>
                <w:color w:val="767171"/>
                <w:spacing w:val="20"/>
                <w:sz w:val="18"/>
                <w:szCs w:val="18"/>
                <w:lang w:eastAsia="en-US"/>
              </w:rPr>
            </w:pPr>
            <w:r>
              <w:rPr>
                <w:rFonts w:ascii="Times New Roman" w:eastAsia="Calibri" w:hAnsi="Times New Roman" w:cs="Times New Roman"/>
                <w:color w:val="767171"/>
                <w:spacing w:val="20"/>
                <w:sz w:val="18"/>
                <w:szCs w:val="18"/>
                <w:lang w:eastAsia="en-US"/>
              </w:rPr>
              <w:t>19,934,255,429.89</w:t>
            </w:r>
          </w:p>
        </w:tc>
        <w:tc>
          <w:tcPr>
            <w:tcW w:w="1579" w:type="dxa"/>
            <w:noWrap/>
            <w:vAlign w:val="center"/>
          </w:tcPr>
          <w:p w14:paraId="755153D5" w14:textId="77777777" w:rsidR="001E67A6" w:rsidRPr="00232EBB" w:rsidRDefault="001E67A6" w:rsidP="001E67A6">
            <w:pPr>
              <w:pStyle w:val="xxmsonormal"/>
              <w:spacing w:line="360" w:lineRule="auto"/>
              <w:jc w:val="center"/>
              <w:rPr>
                <w:rFonts w:ascii="Times New Roman" w:eastAsia="Calibri" w:hAnsi="Times New Roman" w:cs="Times New Roman"/>
                <w:color w:val="767171"/>
                <w:spacing w:val="20"/>
                <w:sz w:val="18"/>
                <w:szCs w:val="18"/>
                <w:lang w:eastAsia="en-US"/>
              </w:rPr>
            </w:pPr>
            <w:r w:rsidRPr="00232EBB">
              <w:rPr>
                <w:rFonts w:ascii="Times New Roman" w:eastAsia="Calibri" w:hAnsi="Times New Roman" w:cs="Times New Roman"/>
                <w:color w:val="767171"/>
                <w:spacing w:val="20"/>
                <w:sz w:val="18"/>
                <w:szCs w:val="18"/>
                <w:lang w:eastAsia="en-US"/>
              </w:rPr>
              <w:t>0</w:t>
            </w:r>
          </w:p>
        </w:tc>
        <w:tc>
          <w:tcPr>
            <w:tcW w:w="1761" w:type="dxa"/>
            <w:noWrap/>
            <w:vAlign w:val="center"/>
          </w:tcPr>
          <w:p w14:paraId="4C0A18E0" w14:textId="50129820" w:rsidR="001E67A6" w:rsidRPr="00232EBB" w:rsidRDefault="007275E6" w:rsidP="001E67A6">
            <w:pPr>
              <w:pStyle w:val="xxmsonormal"/>
              <w:spacing w:line="360" w:lineRule="auto"/>
              <w:jc w:val="center"/>
              <w:rPr>
                <w:rFonts w:ascii="Times New Roman" w:eastAsia="Calibri" w:hAnsi="Times New Roman" w:cs="Times New Roman"/>
                <w:color w:val="767171"/>
                <w:spacing w:val="20"/>
                <w:sz w:val="18"/>
                <w:szCs w:val="18"/>
                <w:lang w:eastAsia="en-US"/>
              </w:rPr>
            </w:pPr>
            <w:r>
              <w:rPr>
                <w:rFonts w:ascii="Times New Roman" w:eastAsia="Calibri" w:hAnsi="Times New Roman" w:cs="Times New Roman"/>
                <w:color w:val="767171"/>
                <w:spacing w:val="20"/>
                <w:sz w:val="18"/>
                <w:szCs w:val="18"/>
                <w:lang w:eastAsia="en-US"/>
              </w:rPr>
              <w:t>92.58</w:t>
            </w:r>
            <w:r w:rsidR="001E67A6" w:rsidRPr="00232EBB">
              <w:rPr>
                <w:rFonts w:ascii="Times New Roman" w:eastAsia="Calibri" w:hAnsi="Times New Roman" w:cs="Times New Roman"/>
                <w:color w:val="767171"/>
                <w:spacing w:val="20"/>
                <w:sz w:val="18"/>
                <w:szCs w:val="18"/>
                <w:lang w:eastAsia="en-US"/>
              </w:rPr>
              <w:t>%</w:t>
            </w:r>
          </w:p>
        </w:tc>
      </w:tr>
      <w:bookmarkEnd w:id="311"/>
    </w:tbl>
    <w:p w14:paraId="57A17BDB" w14:textId="77777777" w:rsidR="000F57D8" w:rsidRPr="00232EBB" w:rsidRDefault="000F57D8" w:rsidP="00B778CF">
      <w:pPr>
        <w:spacing w:line="360" w:lineRule="auto"/>
        <w:rPr>
          <w:rFonts w:eastAsia="Calibri"/>
          <w:b/>
          <w:bCs/>
          <w:sz w:val="18"/>
          <w:szCs w:val="18"/>
          <w:lang w:val="es-DO"/>
        </w:rPr>
      </w:pPr>
    </w:p>
    <w:p w14:paraId="1E5F9AA8" w14:textId="527B6A0F" w:rsidR="00457D2E" w:rsidRPr="00232EBB" w:rsidRDefault="00457D2E" w:rsidP="00457D2E">
      <w:pPr>
        <w:rPr>
          <w:rFonts w:eastAsia="Calibri"/>
          <w:sz w:val="18"/>
          <w:szCs w:val="18"/>
          <w:lang w:val="es-DO"/>
        </w:rPr>
      </w:pPr>
      <w:r w:rsidRPr="00232EBB">
        <w:rPr>
          <w:rFonts w:eastAsia="Calibri"/>
          <w:b/>
          <w:bCs/>
          <w:sz w:val="18"/>
          <w:szCs w:val="18"/>
          <w:lang w:val="es-DO"/>
        </w:rPr>
        <w:t>Fuente:</w:t>
      </w:r>
      <w:r w:rsidRPr="00232EBB">
        <w:rPr>
          <w:rFonts w:eastAsia="Calibri"/>
          <w:sz w:val="18"/>
          <w:szCs w:val="18"/>
          <w:lang w:val="es-DO"/>
        </w:rPr>
        <w:t xml:space="preserve"> Sistema de Información de la Gestión Financiera-Tesorería de la Seguridad Social del 202</w:t>
      </w:r>
      <w:r w:rsidR="0068026C" w:rsidRPr="00232EBB">
        <w:rPr>
          <w:rFonts w:eastAsia="Calibri"/>
          <w:sz w:val="18"/>
          <w:szCs w:val="18"/>
          <w:lang w:val="es-DO"/>
        </w:rPr>
        <w:t>5.</w:t>
      </w:r>
    </w:p>
    <w:p w14:paraId="2956495C" w14:textId="77777777" w:rsidR="00EE3355" w:rsidRPr="00232EBB" w:rsidRDefault="00EE3355" w:rsidP="00B778CF">
      <w:pPr>
        <w:spacing w:line="360" w:lineRule="auto"/>
        <w:rPr>
          <w:rFonts w:eastAsia="Calibri"/>
          <w:b/>
          <w:bCs/>
          <w:sz w:val="18"/>
          <w:szCs w:val="18"/>
          <w:lang w:val="es-DO"/>
        </w:rPr>
      </w:pPr>
    </w:p>
    <w:p w14:paraId="1FB3BF3B" w14:textId="77777777" w:rsidR="005E73B9" w:rsidRPr="00232EBB" w:rsidRDefault="005E73B9" w:rsidP="005E73B9">
      <w:pPr>
        <w:rPr>
          <w:color w:val="4C4747"/>
          <w:lang w:val="es-DO"/>
        </w:rPr>
      </w:pPr>
    </w:p>
    <w:p w14:paraId="30152D21" w14:textId="77777777" w:rsidR="00EE3355" w:rsidRPr="00232EBB" w:rsidRDefault="00EE3355" w:rsidP="005E73B9">
      <w:pPr>
        <w:rPr>
          <w:color w:val="4C4747"/>
          <w:lang w:val="es-DO"/>
        </w:rPr>
      </w:pPr>
    </w:p>
    <w:p w14:paraId="289C79EF" w14:textId="77777777" w:rsidR="00EE3355" w:rsidRPr="00232EBB" w:rsidRDefault="00EE3355" w:rsidP="005E73B9">
      <w:pPr>
        <w:rPr>
          <w:color w:val="4C4747"/>
          <w:lang w:val="es-DO"/>
        </w:rPr>
      </w:pPr>
    </w:p>
    <w:p w14:paraId="3E1E6FC1" w14:textId="77777777" w:rsidR="005E73B9" w:rsidRPr="00232EBB" w:rsidRDefault="005E73B9" w:rsidP="005E73B9">
      <w:pPr>
        <w:rPr>
          <w:color w:val="4C4747"/>
          <w:lang w:val="es-DO"/>
        </w:rPr>
      </w:pPr>
    </w:p>
    <w:p w14:paraId="1043C8D4" w14:textId="0A49AD85" w:rsidR="005E73B9" w:rsidRPr="00232EBB" w:rsidRDefault="002E6D74" w:rsidP="00EE3355">
      <w:pPr>
        <w:pStyle w:val="Heading1"/>
        <w:tabs>
          <w:tab w:val="left" w:pos="1080"/>
        </w:tabs>
        <w:spacing w:line="259" w:lineRule="auto"/>
        <w:ind w:left="720" w:hanging="1440"/>
        <w:rPr>
          <w:rFonts w:cs="Times New Roman"/>
          <w:lang w:val="es-DO"/>
        </w:rPr>
      </w:pPr>
      <w:bookmarkStart w:id="312" w:name="_Toc154736759"/>
      <w:bookmarkStart w:id="313" w:name="_Toc216952283"/>
      <w:r w:rsidRPr="00232EBB">
        <w:rPr>
          <w:rFonts w:cs="Times New Roman"/>
          <w:lang w:val="es-DO"/>
        </w:rPr>
        <w:lastRenderedPageBreak/>
        <w:t xml:space="preserve">7.4 </w:t>
      </w:r>
      <w:r w:rsidR="005E73B9" w:rsidRPr="00232EBB">
        <w:rPr>
          <w:rFonts w:cs="Times New Roman"/>
          <w:lang w:val="es-DO"/>
        </w:rPr>
        <w:t>Anexo 4: Matriz Ejecución Presupuestaria por Objeto del Gasto</w:t>
      </w:r>
      <w:bookmarkEnd w:id="312"/>
      <w:bookmarkEnd w:id="313"/>
    </w:p>
    <w:tbl>
      <w:tblPr>
        <w:tblpPr w:leftFromText="180" w:rightFromText="180" w:vertAnchor="text" w:horzAnchor="margin" w:tblpXSpec="center" w:tblpY="191"/>
        <w:tblW w:w="10790" w:type="dxa"/>
        <w:tblLook w:val="04A0" w:firstRow="1" w:lastRow="0" w:firstColumn="1" w:lastColumn="0" w:noHBand="0" w:noVBand="1"/>
      </w:tblPr>
      <w:tblGrid>
        <w:gridCol w:w="3924"/>
        <w:gridCol w:w="2207"/>
        <w:gridCol w:w="2207"/>
        <w:gridCol w:w="2452"/>
      </w:tblGrid>
      <w:tr w:rsidR="001E67A6" w:rsidRPr="00232EBB" w14:paraId="00F81537" w14:textId="77777777" w:rsidTr="001E67A6">
        <w:trPr>
          <w:trHeight w:val="271"/>
        </w:trPr>
        <w:tc>
          <w:tcPr>
            <w:tcW w:w="3924" w:type="dxa"/>
            <w:tcBorders>
              <w:top w:val="single" w:sz="8" w:space="0" w:color="auto"/>
              <w:left w:val="single" w:sz="8" w:space="0" w:color="auto"/>
              <w:bottom w:val="single" w:sz="8" w:space="0" w:color="auto"/>
              <w:right w:val="single" w:sz="8" w:space="0" w:color="auto"/>
            </w:tcBorders>
            <w:shd w:val="clear" w:color="auto" w:fill="1F3864" w:themeFill="accent1" w:themeFillShade="80"/>
            <w:noWrap/>
            <w:vAlign w:val="bottom"/>
            <w:hideMark/>
          </w:tcPr>
          <w:p w14:paraId="501ACB0F" w14:textId="77777777" w:rsidR="001E67A6" w:rsidRPr="00232EBB" w:rsidRDefault="001E67A6" w:rsidP="001E67A6">
            <w:pPr>
              <w:spacing w:after="0" w:line="240" w:lineRule="auto"/>
              <w:jc w:val="center"/>
              <w:rPr>
                <w:rFonts w:eastAsia="Calibri"/>
                <w:b/>
                <w:bCs/>
                <w:color w:val="FFFFFF" w:themeColor="background1"/>
                <w:sz w:val="20"/>
                <w:szCs w:val="20"/>
                <w:lang w:val="es-DO"/>
              </w:rPr>
            </w:pPr>
            <w:r w:rsidRPr="00232EBB">
              <w:rPr>
                <w:rFonts w:eastAsia="Calibri"/>
                <w:b/>
                <w:bCs/>
                <w:color w:val="FFFFFF" w:themeColor="background1"/>
                <w:sz w:val="20"/>
                <w:szCs w:val="20"/>
                <w:lang w:val="es-DO"/>
              </w:rPr>
              <w:t>OBJETO</w:t>
            </w:r>
          </w:p>
        </w:tc>
        <w:tc>
          <w:tcPr>
            <w:tcW w:w="2207" w:type="dxa"/>
            <w:tcBorders>
              <w:top w:val="single" w:sz="8" w:space="0" w:color="auto"/>
              <w:left w:val="nil"/>
              <w:bottom w:val="single" w:sz="8" w:space="0" w:color="auto"/>
              <w:right w:val="single" w:sz="8" w:space="0" w:color="auto"/>
            </w:tcBorders>
            <w:shd w:val="clear" w:color="auto" w:fill="1F3864" w:themeFill="accent1" w:themeFillShade="80"/>
            <w:noWrap/>
            <w:vAlign w:val="bottom"/>
            <w:hideMark/>
          </w:tcPr>
          <w:p w14:paraId="2EECCC87" w14:textId="77777777" w:rsidR="001E67A6" w:rsidRPr="00232EBB" w:rsidRDefault="001E67A6" w:rsidP="001E67A6">
            <w:pPr>
              <w:spacing w:after="0" w:line="240" w:lineRule="auto"/>
              <w:jc w:val="center"/>
              <w:rPr>
                <w:rFonts w:eastAsia="Calibri"/>
                <w:b/>
                <w:bCs/>
                <w:color w:val="FFFFFF" w:themeColor="background1"/>
                <w:sz w:val="20"/>
                <w:szCs w:val="20"/>
                <w:lang w:val="es-DO"/>
              </w:rPr>
            </w:pPr>
            <w:r w:rsidRPr="00232EBB">
              <w:rPr>
                <w:rFonts w:eastAsia="Calibri"/>
                <w:b/>
                <w:bCs/>
                <w:color w:val="FFFFFF" w:themeColor="background1"/>
                <w:sz w:val="20"/>
                <w:szCs w:val="20"/>
                <w:lang w:val="es-DO"/>
              </w:rPr>
              <w:t>PRESUPUESTO INICIAL</w:t>
            </w:r>
          </w:p>
        </w:tc>
        <w:tc>
          <w:tcPr>
            <w:tcW w:w="2207" w:type="dxa"/>
            <w:tcBorders>
              <w:top w:val="single" w:sz="8" w:space="0" w:color="auto"/>
              <w:left w:val="nil"/>
              <w:bottom w:val="single" w:sz="8" w:space="0" w:color="auto"/>
              <w:right w:val="single" w:sz="8" w:space="0" w:color="auto"/>
            </w:tcBorders>
            <w:shd w:val="clear" w:color="auto" w:fill="1F3864" w:themeFill="accent1" w:themeFillShade="80"/>
            <w:noWrap/>
            <w:vAlign w:val="bottom"/>
            <w:hideMark/>
          </w:tcPr>
          <w:p w14:paraId="4D6F14DC" w14:textId="77777777" w:rsidR="001E67A6" w:rsidRPr="00232EBB" w:rsidRDefault="001E67A6" w:rsidP="001E67A6">
            <w:pPr>
              <w:spacing w:after="0" w:line="240" w:lineRule="auto"/>
              <w:jc w:val="center"/>
              <w:rPr>
                <w:rFonts w:eastAsia="Calibri"/>
                <w:b/>
                <w:bCs/>
                <w:color w:val="FFFFFF" w:themeColor="background1"/>
                <w:sz w:val="20"/>
                <w:szCs w:val="20"/>
                <w:lang w:val="es-DO"/>
              </w:rPr>
            </w:pPr>
            <w:r w:rsidRPr="00232EBB">
              <w:rPr>
                <w:rFonts w:eastAsia="Calibri"/>
                <w:b/>
                <w:bCs/>
                <w:color w:val="FFFFFF" w:themeColor="background1"/>
                <w:sz w:val="20"/>
                <w:szCs w:val="20"/>
                <w:lang w:val="es-DO"/>
              </w:rPr>
              <w:t>PRESUPUESTO VIGENTE</w:t>
            </w:r>
          </w:p>
        </w:tc>
        <w:tc>
          <w:tcPr>
            <w:tcW w:w="2452" w:type="dxa"/>
            <w:tcBorders>
              <w:top w:val="single" w:sz="8" w:space="0" w:color="auto"/>
              <w:left w:val="nil"/>
              <w:bottom w:val="single" w:sz="8" w:space="0" w:color="auto"/>
              <w:right w:val="single" w:sz="8" w:space="0" w:color="auto"/>
            </w:tcBorders>
            <w:shd w:val="clear" w:color="auto" w:fill="1F3864" w:themeFill="accent1" w:themeFillShade="80"/>
            <w:noWrap/>
            <w:vAlign w:val="bottom"/>
            <w:hideMark/>
          </w:tcPr>
          <w:p w14:paraId="39801024" w14:textId="77777777" w:rsidR="001E67A6" w:rsidRPr="00232EBB" w:rsidRDefault="001E67A6" w:rsidP="001E67A6">
            <w:pPr>
              <w:spacing w:after="0" w:line="240" w:lineRule="auto"/>
              <w:jc w:val="center"/>
              <w:rPr>
                <w:rFonts w:eastAsia="Calibri"/>
                <w:b/>
                <w:bCs/>
                <w:color w:val="FFFFFF" w:themeColor="background1"/>
                <w:sz w:val="20"/>
                <w:szCs w:val="20"/>
                <w:lang w:val="es-DO"/>
              </w:rPr>
            </w:pPr>
            <w:r w:rsidRPr="00232EBB">
              <w:rPr>
                <w:rFonts w:eastAsia="Calibri"/>
                <w:b/>
                <w:bCs/>
                <w:color w:val="FFFFFF" w:themeColor="background1"/>
                <w:sz w:val="20"/>
                <w:szCs w:val="20"/>
                <w:lang w:val="es-DO"/>
              </w:rPr>
              <w:t>EJECUCION</w:t>
            </w:r>
          </w:p>
        </w:tc>
      </w:tr>
      <w:tr w:rsidR="001E67A6" w:rsidRPr="00232EBB" w14:paraId="230B8134" w14:textId="77777777" w:rsidTr="001E67A6">
        <w:trPr>
          <w:trHeight w:val="271"/>
        </w:trPr>
        <w:tc>
          <w:tcPr>
            <w:tcW w:w="10790" w:type="dxa"/>
            <w:gridSpan w:val="4"/>
            <w:tcBorders>
              <w:top w:val="nil"/>
              <w:left w:val="single" w:sz="8" w:space="0" w:color="auto"/>
              <w:bottom w:val="single" w:sz="8" w:space="0" w:color="auto"/>
              <w:right w:val="single" w:sz="8" w:space="0" w:color="000000"/>
            </w:tcBorders>
            <w:noWrap/>
            <w:vAlign w:val="center"/>
            <w:hideMark/>
          </w:tcPr>
          <w:p w14:paraId="4852942E" w14:textId="77777777" w:rsidR="001E67A6" w:rsidRPr="00232EBB" w:rsidRDefault="001E67A6" w:rsidP="001E67A6">
            <w:pPr>
              <w:spacing w:after="0" w:line="240" w:lineRule="auto"/>
              <w:jc w:val="both"/>
              <w:rPr>
                <w:rFonts w:eastAsia="Calibri"/>
                <w:sz w:val="20"/>
                <w:szCs w:val="20"/>
                <w:lang w:val="es-DO"/>
              </w:rPr>
            </w:pPr>
            <w:r w:rsidRPr="00232EBB">
              <w:rPr>
                <w:rFonts w:eastAsia="Calibri"/>
                <w:sz w:val="20"/>
                <w:szCs w:val="20"/>
                <w:lang w:val="es-DO"/>
              </w:rPr>
              <w:t>2 - GASTOS</w:t>
            </w:r>
          </w:p>
        </w:tc>
      </w:tr>
      <w:tr w:rsidR="001E67A6" w:rsidRPr="00232EBB" w14:paraId="2AA960AF" w14:textId="77777777" w:rsidTr="001E67A6">
        <w:trPr>
          <w:trHeight w:val="250"/>
        </w:trPr>
        <w:tc>
          <w:tcPr>
            <w:tcW w:w="3924" w:type="dxa"/>
            <w:tcBorders>
              <w:top w:val="nil"/>
              <w:left w:val="single" w:sz="8" w:space="0" w:color="auto"/>
              <w:bottom w:val="single" w:sz="8" w:space="0" w:color="auto"/>
              <w:right w:val="single" w:sz="8" w:space="0" w:color="auto"/>
            </w:tcBorders>
            <w:noWrap/>
            <w:vAlign w:val="center"/>
            <w:hideMark/>
          </w:tcPr>
          <w:p w14:paraId="0B687AB1" w14:textId="77777777" w:rsidR="001E67A6" w:rsidRPr="00232EBB" w:rsidRDefault="001E67A6" w:rsidP="001E67A6">
            <w:pPr>
              <w:spacing w:after="0" w:line="240" w:lineRule="auto"/>
              <w:jc w:val="both"/>
              <w:rPr>
                <w:rFonts w:eastAsia="Calibri"/>
                <w:sz w:val="20"/>
                <w:szCs w:val="20"/>
                <w:lang w:val="es-DO"/>
              </w:rPr>
            </w:pPr>
            <w:r w:rsidRPr="00232EBB">
              <w:rPr>
                <w:rFonts w:eastAsia="Calibri"/>
                <w:sz w:val="20"/>
                <w:szCs w:val="20"/>
                <w:lang w:val="es-DO"/>
              </w:rPr>
              <w:t>2.1 - Remuneraciones y Contribuciones</w:t>
            </w:r>
          </w:p>
        </w:tc>
        <w:tc>
          <w:tcPr>
            <w:tcW w:w="2207" w:type="dxa"/>
            <w:tcBorders>
              <w:top w:val="nil"/>
              <w:left w:val="nil"/>
              <w:bottom w:val="single" w:sz="8" w:space="0" w:color="auto"/>
              <w:right w:val="single" w:sz="8" w:space="0" w:color="auto"/>
            </w:tcBorders>
            <w:noWrap/>
            <w:vAlign w:val="center"/>
            <w:hideMark/>
          </w:tcPr>
          <w:p w14:paraId="423780C3" w14:textId="77777777"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640,809,510.00</w:t>
            </w:r>
          </w:p>
        </w:tc>
        <w:tc>
          <w:tcPr>
            <w:tcW w:w="2207" w:type="dxa"/>
            <w:tcBorders>
              <w:top w:val="nil"/>
              <w:left w:val="nil"/>
              <w:bottom w:val="single" w:sz="8" w:space="0" w:color="auto"/>
              <w:right w:val="single" w:sz="8" w:space="0" w:color="auto"/>
            </w:tcBorders>
            <w:noWrap/>
            <w:vAlign w:val="center"/>
            <w:hideMark/>
          </w:tcPr>
          <w:p w14:paraId="665395F9" w14:textId="4EC6B948"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640,</w:t>
            </w:r>
            <w:r w:rsidR="00401F31">
              <w:rPr>
                <w:rFonts w:eastAsia="Calibri"/>
                <w:sz w:val="20"/>
                <w:szCs w:val="20"/>
                <w:lang w:val="es-DO"/>
              </w:rPr>
              <w:t>791,010.00</w:t>
            </w:r>
            <w:r w:rsidRPr="00232EBB">
              <w:rPr>
                <w:rFonts w:eastAsia="Calibri"/>
                <w:sz w:val="20"/>
                <w:szCs w:val="20"/>
                <w:lang w:val="es-DO"/>
              </w:rPr>
              <w:t xml:space="preserve"> </w:t>
            </w:r>
          </w:p>
        </w:tc>
        <w:tc>
          <w:tcPr>
            <w:tcW w:w="2452" w:type="dxa"/>
            <w:tcBorders>
              <w:top w:val="nil"/>
              <w:left w:val="nil"/>
              <w:bottom w:val="single" w:sz="8" w:space="0" w:color="auto"/>
              <w:right w:val="single" w:sz="8" w:space="0" w:color="auto"/>
            </w:tcBorders>
            <w:noWrap/>
            <w:vAlign w:val="center"/>
            <w:hideMark/>
          </w:tcPr>
          <w:p w14:paraId="2FAD6932" w14:textId="392BB75C"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w:t>
            </w:r>
            <w:r w:rsidR="00401F31">
              <w:rPr>
                <w:rFonts w:eastAsia="Calibri"/>
                <w:sz w:val="20"/>
                <w:szCs w:val="20"/>
                <w:lang w:val="es-DO"/>
              </w:rPr>
              <w:t>619,451,928.18</w:t>
            </w:r>
          </w:p>
        </w:tc>
      </w:tr>
      <w:tr w:rsidR="001E67A6" w:rsidRPr="00232EBB" w14:paraId="24C6600A" w14:textId="77777777" w:rsidTr="001E67A6">
        <w:trPr>
          <w:trHeight w:val="258"/>
        </w:trPr>
        <w:tc>
          <w:tcPr>
            <w:tcW w:w="3924" w:type="dxa"/>
            <w:tcBorders>
              <w:top w:val="nil"/>
              <w:left w:val="single" w:sz="8" w:space="0" w:color="auto"/>
              <w:bottom w:val="single" w:sz="8" w:space="0" w:color="auto"/>
              <w:right w:val="single" w:sz="8" w:space="0" w:color="auto"/>
            </w:tcBorders>
            <w:noWrap/>
            <w:vAlign w:val="center"/>
            <w:hideMark/>
          </w:tcPr>
          <w:p w14:paraId="3EEED1EC" w14:textId="77777777" w:rsidR="001E67A6" w:rsidRPr="00232EBB" w:rsidRDefault="001E67A6" w:rsidP="001E67A6">
            <w:pPr>
              <w:spacing w:after="0" w:line="240" w:lineRule="auto"/>
              <w:jc w:val="both"/>
              <w:rPr>
                <w:rFonts w:eastAsia="Calibri"/>
                <w:sz w:val="20"/>
                <w:szCs w:val="20"/>
                <w:lang w:val="es-DO"/>
              </w:rPr>
            </w:pPr>
            <w:r w:rsidRPr="00232EBB">
              <w:rPr>
                <w:rFonts w:eastAsia="Calibri"/>
                <w:sz w:val="20"/>
                <w:szCs w:val="20"/>
                <w:lang w:val="es-DO"/>
              </w:rPr>
              <w:t>2.2 - Contratación de Servicios</w:t>
            </w:r>
          </w:p>
        </w:tc>
        <w:tc>
          <w:tcPr>
            <w:tcW w:w="2207" w:type="dxa"/>
            <w:tcBorders>
              <w:top w:val="nil"/>
              <w:left w:val="nil"/>
              <w:bottom w:val="single" w:sz="8" w:space="0" w:color="auto"/>
              <w:right w:val="single" w:sz="8" w:space="0" w:color="auto"/>
            </w:tcBorders>
            <w:noWrap/>
            <w:vAlign w:val="center"/>
            <w:hideMark/>
          </w:tcPr>
          <w:p w14:paraId="6AF814FC" w14:textId="77777777"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272,953,632.00 </w:t>
            </w:r>
          </w:p>
        </w:tc>
        <w:tc>
          <w:tcPr>
            <w:tcW w:w="2207" w:type="dxa"/>
            <w:tcBorders>
              <w:top w:val="nil"/>
              <w:left w:val="nil"/>
              <w:bottom w:val="single" w:sz="8" w:space="0" w:color="auto"/>
              <w:right w:val="single" w:sz="8" w:space="0" w:color="auto"/>
            </w:tcBorders>
            <w:noWrap/>
            <w:vAlign w:val="center"/>
            <w:hideMark/>
          </w:tcPr>
          <w:p w14:paraId="4A4A07F9" w14:textId="5A604F8A"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468,</w:t>
            </w:r>
            <w:r w:rsidR="00401F31">
              <w:rPr>
                <w:rFonts w:eastAsia="Calibri"/>
                <w:sz w:val="20"/>
                <w:szCs w:val="20"/>
                <w:lang w:val="es-DO"/>
              </w:rPr>
              <w:t>594,338.72</w:t>
            </w:r>
            <w:r w:rsidRPr="00232EBB">
              <w:rPr>
                <w:rFonts w:eastAsia="Calibri"/>
                <w:sz w:val="20"/>
                <w:szCs w:val="20"/>
                <w:lang w:val="es-DO"/>
              </w:rPr>
              <w:t xml:space="preserve"> </w:t>
            </w:r>
          </w:p>
        </w:tc>
        <w:tc>
          <w:tcPr>
            <w:tcW w:w="2452" w:type="dxa"/>
            <w:tcBorders>
              <w:top w:val="nil"/>
              <w:left w:val="nil"/>
              <w:bottom w:val="single" w:sz="8" w:space="0" w:color="auto"/>
              <w:right w:val="single" w:sz="8" w:space="0" w:color="auto"/>
            </w:tcBorders>
            <w:noWrap/>
            <w:vAlign w:val="center"/>
            <w:hideMark/>
          </w:tcPr>
          <w:p w14:paraId="1520C230" w14:textId="1286EA8E" w:rsidR="001E67A6" w:rsidRPr="00232EBB" w:rsidRDefault="00401F31" w:rsidP="001E67A6">
            <w:pPr>
              <w:spacing w:after="0" w:line="240" w:lineRule="auto"/>
              <w:jc w:val="right"/>
              <w:rPr>
                <w:rFonts w:eastAsia="Calibri"/>
                <w:sz w:val="20"/>
                <w:szCs w:val="20"/>
                <w:lang w:val="es-DO"/>
              </w:rPr>
            </w:pPr>
            <w:r>
              <w:rPr>
                <w:rFonts w:eastAsia="Calibri"/>
                <w:sz w:val="20"/>
                <w:szCs w:val="20"/>
                <w:lang w:val="es-DO"/>
              </w:rPr>
              <w:t>339,674,339.26</w:t>
            </w:r>
          </w:p>
        </w:tc>
      </w:tr>
      <w:tr w:rsidR="001E67A6" w:rsidRPr="00232EBB" w14:paraId="41BFAE50" w14:textId="77777777" w:rsidTr="001E67A6">
        <w:trPr>
          <w:trHeight w:val="271"/>
        </w:trPr>
        <w:tc>
          <w:tcPr>
            <w:tcW w:w="3924" w:type="dxa"/>
            <w:tcBorders>
              <w:top w:val="nil"/>
              <w:left w:val="single" w:sz="8" w:space="0" w:color="auto"/>
              <w:bottom w:val="single" w:sz="8" w:space="0" w:color="auto"/>
              <w:right w:val="single" w:sz="8" w:space="0" w:color="auto"/>
            </w:tcBorders>
            <w:noWrap/>
            <w:vAlign w:val="center"/>
            <w:hideMark/>
          </w:tcPr>
          <w:p w14:paraId="695F26BD" w14:textId="77777777" w:rsidR="001E67A6" w:rsidRPr="00232EBB" w:rsidRDefault="001E67A6" w:rsidP="001E67A6">
            <w:pPr>
              <w:spacing w:after="0" w:line="240" w:lineRule="auto"/>
              <w:jc w:val="both"/>
              <w:rPr>
                <w:rFonts w:eastAsia="Calibri"/>
                <w:sz w:val="20"/>
                <w:szCs w:val="20"/>
                <w:lang w:val="es-DO"/>
              </w:rPr>
            </w:pPr>
            <w:r w:rsidRPr="00232EBB">
              <w:rPr>
                <w:rFonts w:eastAsia="Calibri"/>
                <w:sz w:val="20"/>
                <w:szCs w:val="20"/>
                <w:lang w:val="es-DO"/>
              </w:rPr>
              <w:t>2.3 - Materiales y Suministros</w:t>
            </w:r>
          </w:p>
        </w:tc>
        <w:tc>
          <w:tcPr>
            <w:tcW w:w="2207" w:type="dxa"/>
            <w:tcBorders>
              <w:top w:val="nil"/>
              <w:left w:val="nil"/>
              <w:bottom w:val="single" w:sz="8" w:space="0" w:color="auto"/>
              <w:right w:val="single" w:sz="8" w:space="0" w:color="auto"/>
            </w:tcBorders>
            <w:noWrap/>
            <w:vAlign w:val="center"/>
            <w:hideMark/>
          </w:tcPr>
          <w:p w14:paraId="025E08F7" w14:textId="77777777"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11,847,636.00</w:t>
            </w:r>
          </w:p>
        </w:tc>
        <w:tc>
          <w:tcPr>
            <w:tcW w:w="2207" w:type="dxa"/>
            <w:tcBorders>
              <w:top w:val="nil"/>
              <w:left w:val="nil"/>
              <w:bottom w:val="single" w:sz="8" w:space="0" w:color="auto"/>
              <w:right w:val="single" w:sz="8" w:space="0" w:color="auto"/>
            </w:tcBorders>
            <w:noWrap/>
            <w:vAlign w:val="center"/>
            <w:hideMark/>
          </w:tcPr>
          <w:p w14:paraId="6C8A9936" w14:textId="2DBED196"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w:t>
            </w:r>
            <w:r w:rsidR="00401F31">
              <w:rPr>
                <w:rFonts w:eastAsia="Calibri"/>
                <w:sz w:val="20"/>
                <w:szCs w:val="20"/>
                <w:lang w:val="es-DO"/>
              </w:rPr>
              <w:t>22,286,182.88</w:t>
            </w:r>
            <w:r w:rsidRPr="00232EBB">
              <w:rPr>
                <w:rFonts w:eastAsia="Calibri"/>
                <w:sz w:val="20"/>
                <w:szCs w:val="20"/>
                <w:lang w:val="es-DO"/>
              </w:rPr>
              <w:t xml:space="preserve"> </w:t>
            </w:r>
          </w:p>
        </w:tc>
        <w:tc>
          <w:tcPr>
            <w:tcW w:w="2452" w:type="dxa"/>
            <w:tcBorders>
              <w:top w:val="nil"/>
              <w:left w:val="nil"/>
              <w:bottom w:val="single" w:sz="8" w:space="0" w:color="auto"/>
              <w:right w:val="single" w:sz="8" w:space="0" w:color="auto"/>
            </w:tcBorders>
            <w:noWrap/>
            <w:vAlign w:val="center"/>
            <w:hideMark/>
          </w:tcPr>
          <w:p w14:paraId="1C249047" w14:textId="3CFEF963"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w:t>
            </w:r>
            <w:r w:rsidR="00401F31">
              <w:rPr>
                <w:rFonts w:eastAsia="Calibri"/>
                <w:sz w:val="20"/>
                <w:szCs w:val="20"/>
                <w:lang w:val="es-DO"/>
              </w:rPr>
              <w:t>13,385,896.12</w:t>
            </w:r>
          </w:p>
        </w:tc>
      </w:tr>
      <w:tr w:rsidR="001E67A6" w:rsidRPr="00232EBB" w14:paraId="345976FB" w14:textId="77777777" w:rsidTr="001E67A6">
        <w:trPr>
          <w:trHeight w:val="271"/>
        </w:trPr>
        <w:tc>
          <w:tcPr>
            <w:tcW w:w="3924" w:type="dxa"/>
            <w:tcBorders>
              <w:top w:val="nil"/>
              <w:left w:val="single" w:sz="8" w:space="0" w:color="auto"/>
              <w:bottom w:val="single" w:sz="8" w:space="0" w:color="auto"/>
              <w:right w:val="single" w:sz="8" w:space="0" w:color="auto"/>
            </w:tcBorders>
            <w:noWrap/>
            <w:vAlign w:val="center"/>
            <w:hideMark/>
          </w:tcPr>
          <w:p w14:paraId="718F0794" w14:textId="77777777" w:rsidR="001E67A6" w:rsidRPr="00232EBB" w:rsidRDefault="001E67A6" w:rsidP="001E67A6">
            <w:pPr>
              <w:spacing w:after="0" w:line="240" w:lineRule="auto"/>
              <w:jc w:val="both"/>
              <w:rPr>
                <w:rFonts w:eastAsia="Calibri"/>
                <w:sz w:val="20"/>
                <w:szCs w:val="20"/>
                <w:lang w:val="es-DO"/>
              </w:rPr>
            </w:pPr>
            <w:r w:rsidRPr="00232EBB">
              <w:rPr>
                <w:rFonts w:eastAsia="Calibri"/>
                <w:sz w:val="20"/>
                <w:szCs w:val="20"/>
                <w:lang w:val="es-DO"/>
              </w:rPr>
              <w:t>2.4 - Transferencias Corrientes</w:t>
            </w:r>
          </w:p>
        </w:tc>
        <w:tc>
          <w:tcPr>
            <w:tcW w:w="2207" w:type="dxa"/>
            <w:tcBorders>
              <w:top w:val="nil"/>
              <w:left w:val="nil"/>
              <w:bottom w:val="single" w:sz="8" w:space="0" w:color="auto"/>
              <w:right w:val="single" w:sz="8" w:space="0" w:color="auto"/>
            </w:tcBorders>
            <w:noWrap/>
            <w:vAlign w:val="center"/>
            <w:hideMark/>
          </w:tcPr>
          <w:p w14:paraId="1722B4C6" w14:textId="77777777"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21,533,040,847.00 </w:t>
            </w:r>
          </w:p>
        </w:tc>
        <w:tc>
          <w:tcPr>
            <w:tcW w:w="2207" w:type="dxa"/>
            <w:tcBorders>
              <w:top w:val="nil"/>
              <w:left w:val="nil"/>
              <w:bottom w:val="single" w:sz="8" w:space="0" w:color="auto"/>
              <w:right w:val="single" w:sz="8" w:space="0" w:color="auto"/>
            </w:tcBorders>
            <w:noWrap/>
            <w:vAlign w:val="center"/>
            <w:hideMark/>
          </w:tcPr>
          <w:p w14:paraId="297DDB16" w14:textId="4D070BD9"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w:t>
            </w:r>
            <w:r w:rsidR="00401F31">
              <w:rPr>
                <w:rFonts w:eastAsia="Calibri"/>
                <w:sz w:val="20"/>
                <w:szCs w:val="20"/>
                <w:lang w:val="es-DO"/>
              </w:rPr>
              <w:t>20,140,055,991.50</w:t>
            </w:r>
            <w:r w:rsidRPr="00232EBB">
              <w:rPr>
                <w:rFonts w:eastAsia="Calibri"/>
                <w:sz w:val="20"/>
                <w:szCs w:val="20"/>
                <w:lang w:val="es-DO"/>
              </w:rPr>
              <w:t xml:space="preserve"> </w:t>
            </w:r>
          </w:p>
        </w:tc>
        <w:tc>
          <w:tcPr>
            <w:tcW w:w="2452" w:type="dxa"/>
            <w:tcBorders>
              <w:top w:val="nil"/>
              <w:left w:val="nil"/>
              <w:bottom w:val="single" w:sz="8" w:space="0" w:color="auto"/>
              <w:right w:val="single" w:sz="8" w:space="0" w:color="auto"/>
            </w:tcBorders>
            <w:noWrap/>
            <w:vAlign w:val="center"/>
            <w:hideMark/>
          </w:tcPr>
          <w:p w14:paraId="5C4A9596" w14:textId="02A80607" w:rsidR="001E67A6" w:rsidRPr="00232EBB" w:rsidRDefault="00401F31" w:rsidP="001E67A6">
            <w:pPr>
              <w:spacing w:after="0" w:line="240" w:lineRule="auto"/>
              <w:jc w:val="right"/>
              <w:rPr>
                <w:rFonts w:eastAsia="Calibri"/>
                <w:sz w:val="20"/>
                <w:szCs w:val="20"/>
                <w:lang w:val="es-DO"/>
              </w:rPr>
            </w:pPr>
            <w:r>
              <w:rPr>
                <w:rFonts w:eastAsia="Calibri"/>
                <w:sz w:val="20"/>
                <w:szCs w:val="20"/>
                <w:lang w:val="es-DO"/>
              </w:rPr>
              <w:t>19,935,548,977.15</w:t>
            </w:r>
          </w:p>
        </w:tc>
      </w:tr>
      <w:tr w:rsidR="001E67A6" w:rsidRPr="00232EBB" w14:paraId="13E7C0A4" w14:textId="77777777" w:rsidTr="001E67A6">
        <w:trPr>
          <w:trHeight w:val="405"/>
        </w:trPr>
        <w:tc>
          <w:tcPr>
            <w:tcW w:w="3924" w:type="dxa"/>
            <w:tcBorders>
              <w:top w:val="nil"/>
              <w:left w:val="single" w:sz="8" w:space="0" w:color="auto"/>
              <w:bottom w:val="single" w:sz="8" w:space="0" w:color="auto"/>
              <w:right w:val="single" w:sz="8" w:space="0" w:color="auto"/>
            </w:tcBorders>
            <w:noWrap/>
            <w:vAlign w:val="center"/>
            <w:hideMark/>
          </w:tcPr>
          <w:p w14:paraId="67364CB4" w14:textId="77777777" w:rsidR="001E67A6" w:rsidRPr="00232EBB" w:rsidRDefault="001E67A6" w:rsidP="001E67A6">
            <w:pPr>
              <w:spacing w:after="0" w:line="240" w:lineRule="auto"/>
              <w:jc w:val="both"/>
              <w:rPr>
                <w:rFonts w:eastAsia="Calibri"/>
                <w:sz w:val="20"/>
                <w:szCs w:val="20"/>
                <w:lang w:val="es-DO"/>
              </w:rPr>
            </w:pPr>
            <w:r w:rsidRPr="00232EBB">
              <w:rPr>
                <w:rFonts w:eastAsia="Calibri"/>
                <w:sz w:val="20"/>
                <w:szCs w:val="20"/>
                <w:lang w:val="es-DO"/>
              </w:rPr>
              <w:t>2.5 - Transferencias de Capital</w:t>
            </w:r>
          </w:p>
        </w:tc>
        <w:tc>
          <w:tcPr>
            <w:tcW w:w="2207" w:type="dxa"/>
            <w:tcBorders>
              <w:top w:val="nil"/>
              <w:left w:val="nil"/>
              <w:bottom w:val="single" w:sz="8" w:space="0" w:color="auto"/>
              <w:right w:val="single" w:sz="8" w:space="0" w:color="auto"/>
            </w:tcBorders>
            <w:noWrap/>
            <w:vAlign w:val="center"/>
            <w:hideMark/>
          </w:tcPr>
          <w:p w14:paraId="29298735" w14:textId="77777777"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    </w:t>
            </w:r>
          </w:p>
        </w:tc>
        <w:tc>
          <w:tcPr>
            <w:tcW w:w="2207" w:type="dxa"/>
            <w:tcBorders>
              <w:top w:val="nil"/>
              <w:left w:val="nil"/>
              <w:bottom w:val="single" w:sz="8" w:space="0" w:color="auto"/>
              <w:right w:val="single" w:sz="8" w:space="0" w:color="auto"/>
            </w:tcBorders>
            <w:noWrap/>
            <w:vAlign w:val="center"/>
            <w:hideMark/>
          </w:tcPr>
          <w:p w14:paraId="3934D2B9" w14:textId="77777777"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    </w:t>
            </w:r>
          </w:p>
        </w:tc>
        <w:tc>
          <w:tcPr>
            <w:tcW w:w="2452" w:type="dxa"/>
            <w:tcBorders>
              <w:top w:val="nil"/>
              <w:left w:val="nil"/>
              <w:bottom w:val="single" w:sz="8" w:space="0" w:color="auto"/>
              <w:right w:val="single" w:sz="8" w:space="0" w:color="auto"/>
            </w:tcBorders>
            <w:noWrap/>
            <w:vAlign w:val="center"/>
            <w:hideMark/>
          </w:tcPr>
          <w:p w14:paraId="3A84CE36" w14:textId="77777777"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    </w:t>
            </w:r>
          </w:p>
        </w:tc>
      </w:tr>
      <w:tr w:rsidR="001E67A6" w:rsidRPr="00232EBB" w14:paraId="0B989FB6" w14:textId="77777777" w:rsidTr="001E67A6">
        <w:trPr>
          <w:trHeight w:val="381"/>
        </w:trPr>
        <w:tc>
          <w:tcPr>
            <w:tcW w:w="3924" w:type="dxa"/>
            <w:tcBorders>
              <w:top w:val="nil"/>
              <w:left w:val="single" w:sz="8" w:space="0" w:color="auto"/>
              <w:bottom w:val="single" w:sz="8" w:space="0" w:color="auto"/>
              <w:right w:val="single" w:sz="8" w:space="0" w:color="auto"/>
            </w:tcBorders>
            <w:noWrap/>
            <w:vAlign w:val="center"/>
            <w:hideMark/>
          </w:tcPr>
          <w:p w14:paraId="3CD610F2" w14:textId="77777777" w:rsidR="001E67A6" w:rsidRPr="00232EBB" w:rsidRDefault="001E67A6" w:rsidP="001E67A6">
            <w:pPr>
              <w:spacing w:after="0" w:line="240" w:lineRule="auto"/>
              <w:jc w:val="both"/>
              <w:rPr>
                <w:rFonts w:eastAsia="Calibri"/>
                <w:sz w:val="20"/>
                <w:szCs w:val="20"/>
                <w:lang w:val="es-DO"/>
              </w:rPr>
            </w:pPr>
            <w:r w:rsidRPr="00232EBB">
              <w:rPr>
                <w:rFonts w:eastAsia="Calibri"/>
                <w:sz w:val="20"/>
                <w:szCs w:val="20"/>
                <w:lang w:val="es-DO"/>
              </w:rPr>
              <w:t>2.6 - Bienes Muebles, Inmuebles E Intangibles</w:t>
            </w:r>
          </w:p>
        </w:tc>
        <w:tc>
          <w:tcPr>
            <w:tcW w:w="2207" w:type="dxa"/>
            <w:tcBorders>
              <w:top w:val="nil"/>
              <w:left w:val="nil"/>
              <w:bottom w:val="single" w:sz="8" w:space="0" w:color="auto"/>
              <w:right w:val="single" w:sz="8" w:space="0" w:color="auto"/>
            </w:tcBorders>
            <w:noWrap/>
            <w:vAlign w:val="center"/>
            <w:hideMark/>
          </w:tcPr>
          <w:p w14:paraId="7B54E4AF" w14:textId="77777777"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8,753,194.00 </w:t>
            </w:r>
          </w:p>
        </w:tc>
        <w:tc>
          <w:tcPr>
            <w:tcW w:w="2207" w:type="dxa"/>
            <w:tcBorders>
              <w:top w:val="nil"/>
              <w:left w:val="nil"/>
              <w:bottom w:val="single" w:sz="8" w:space="0" w:color="auto"/>
              <w:right w:val="single" w:sz="8" w:space="0" w:color="auto"/>
            </w:tcBorders>
            <w:noWrap/>
            <w:vAlign w:val="center"/>
            <w:hideMark/>
          </w:tcPr>
          <w:p w14:paraId="02D60670" w14:textId="77777777"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123,076,688.47 </w:t>
            </w:r>
          </w:p>
        </w:tc>
        <w:tc>
          <w:tcPr>
            <w:tcW w:w="2452" w:type="dxa"/>
            <w:tcBorders>
              <w:top w:val="nil"/>
              <w:left w:val="nil"/>
              <w:bottom w:val="single" w:sz="8" w:space="0" w:color="auto"/>
              <w:right w:val="single" w:sz="8" w:space="0" w:color="auto"/>
            </w:tcBorders>
            <w:noWrap/>
            <w:vAlign w:val="center"/>
            <w:hideMark/>
          </w:tcPr>
          <w:p w14:paraId="67C1A9B6" w14:textId="2BDEDC27"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w:t>
            </w:r>
            <w:r w:rsidR="00401F31">
              <w:rPr>
                <w:rFonts w:eastAsia="Calibri"/>
                <w:sz w:val="20"/>
                <w:szCs w:val="20"/>
                <w:lang w:val="es-DO"/>
              </w:rPr>
              <w:t>19,589,819.45</w:t>
            </w:r>
          </w:p>
        </w:tc>
      </w:tr>
      <w:tr w:rsidR="001E67A6" w:rsidRPr="00232EBB" w14:paraId="067CF599" w14:textId="77777777" w:rsidTr="001E67A6">
        <w:trPr>
          <w:trHeight w:val="271"/>
        </w:trPr>
        <w:tc>
          <w:tcPr>
            <w:tcW w:w="3924" w:type="dxa"/>
            <w:tcBorders>
              <w:top w:val="nil"/>
              <w:left w:val="single" w:sz="8" w:space="0" w:color="auto"/>
              <w:bottom w:val="single" w:sz="8" w:space="0" w:color="auto"/>
              <w:right w:val="single" w:sz="8" w:space="0" w:color="auto"/>
            </w:tcBorders>
            <w:noWrap/>
            <w:vAlign w:val="center"/>
            <w:hideMark/>
          </w:tcPr>
          <w:p w14:paraId="7933C582" w14:textId="77777777" w:rsidR="001E67A6" w:rsidRPr="00232EBB" w:rsidRDefault="001E67A6" w:rsidP="001E67A6">
            <w:pPr>
              <w:spacing w:after="0" w:line="240" w:lineRule="auto"/>
              <w:jc w:val="both"/>
              <w:rPr>
                <w:rFonts w:eastAsia="Calibri"/>
                <w:sz w:val="20"/>
                <w:szCs w:val="20"/>
                <w:lang w:val="es-DO"/>
              </w:rPr>
            </w:pPr>
            <w:r w:rsidRPr="00232EBB">
              <w:rPr>
                <w:rFonts w:eastAsia="Calibri"/>
                <w:sz w:val="20"/>
                <w:szCs w:val="20"/>
                <w:lang w:val="es-DO"/>
              </w:rPr>
              <w:t>2.7 - Obras</w:t>
            </w:r>
          </w:p>
        </w:tc>
        <w:tc>
          <w:tcPr>
            <w:tcW w:w="2207" w:type="dxa"/>
            <w:tcBorders>
              <w:top w:val="nil"/>
              <w:left w:val="nil"/>
              <w:bottom w:val="single" w:sz="8" w:space="0" w:color="auto"/>
              <w:right w:val="single" w:sz="8" w:space="0" w:color="auto"/>
            </w:tcBorders>
            <w:noWrap/>
            <w:vAlign w:val="center"/>
            <w:hideMark/>
          </w:tcPr>
          <w:p w14:paraId="522CF580" w14:textId="77777777"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   </w:t>
            </w:r>
          </w:p>
        </w:tc>
        <w:tc>
          <w:tcPr>
            <w:tcW w:w="2207" w:type="dxa"/>
            <w:tcBorders>
              <w:top w:val="nil"/>
              <w:left w:val="nil"/>
              <w:bottom w:val="single" w:sz="8" w:space="0" w:color="auto"/>
              <w:right w:val="single" w:sz="8" w:space="0" w:color="auto"/>
            </w:tcBorders>
            <w:noWrap/>
            <w:vAlign w:val="center"/>
            <w:hideMark/>
          </w:tcPr>
          <w:p w14:paraId="21D31149" w14:textId="77777777"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17,392,360.69 </w:t>
            </w:r>
          </w:p>
        </w:tc>
        <w:tc>
          <w:tcPr>
            <w:tcW w:w="2452" w:type="dxa"/>
            <w:tcBorders>
              <w:top w:val="nil"/>
              <w:left w:val="nil"/>
              <w:bottom w:val="single" w:sz="8" w:space="0" w:color="auto"/>
              <w:right w:val="single" w:sz="8" w:space="0" w:color="auto"/>
            </w:tcBorders>
            <w:noWrap/>
            <w:vAlign w:val="center"/>
            <w:hideMark/>
          </w:tcPr>
          <w:p w14:paraId="394AD292" w14:textId="77777777"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12,092,047.77  </w:t>
            </w:r>
          </w:p>
        </w:tc>
      </w:tr>
      <w:tr w:rsidR="001E67A6" w:rsidRPr="00232EBB" w14:paraId="7291DCB0" w14:textId="77777777" w:rsidTr="001E67A6">
        <w:trPr>
          <w:trHeight w:val="451"/>
        </w:trPr>
        <w:tc>
          <w:tcPr>
            <w:tcW w:w="3924" w:type="dxa"/>
            <w:tcBorders>
              <w:top w:val="nil"/>
              <w:left w:val="single" w:sz="8" w:space="0" w:color="auto"/>
              <w:bottom w:val="single" w:sz="8" w:space="0" w:color="auto"/>
              <w:right w:val="single" w:sz="8" w:space="0" w:color="auto"/>
            </w:tcBorders>
            <w:noWrap/>
            <w:vAlign w:val="center"/>
            <w:hideMark/>
          </w:tcPr>
          <w:p w14:paraId="02E697CC" w14:textId="77777777" w:rsidR="001E67A6" w:rsidRPr="00232EBB" w:rsidRDefault="001E67A6" w:rsidP="001E67A6">
            <w:pPr>
              <w:spacing w:after="0" w:line="240" w:lineRule="auto"/>
              <w:jc w:val="both"/>
              <w:rPr>
                <w:rFonts w:eastAsia="Calibri"/>
                <w:sz w:val="20"/>
                <w:szCs w:val="20"/>
                <w:lang w:val="es-DO"/>
              </w:rPr>
            </w:pPr>
            <w:r w:rsidRPr="00232EBB">
              <w:rPr>
                <w:rFonts w:eastAsia="Calibri"/>
                <w:sz w:val="20"/>
                <w:szCs w:val="20"/>
                <w:lang w:val="es-DO"/>
              </w:rPr>
              <w:t>2.8 - Adquisición de Activos Financieros con Fines de Política</w:t>
            </w:r>
          </w:p>
        </w:tc>
        <w:tc>
          <w:tcPr>
            <w:tcW w:w="2207" w:type="dxa"/>
            <w:tcBorders>
              <w:top w:val="nil"/>
              <w:left w:val="nil"/>
              <w:bottom w:val="single" w:sz="8" w:space="0" w:color="auto"/>
              <w:right w:val="single" w:sz="8" w:space="0" w:color="auto"/>
            </w:tcBorders>
            <w:noWrap/>
            <w:vAlign w:val="center"/>
            <w:hideMark/>
          </w:tcPr>
          <w:p w14:paraId="635A1CD6" w14:textId="77777777"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   </w:t>
            </w:r>
          </w:p>
        </w:tc>
        <w:tc>
          <w:tcPr>
            <w:tcW w:w="2207" w:type="dxa"/>
            <w:tcBorders>
              <w:top w:val="nil"/>
              <w:left w:val="nil"/>
              <w:bottom w:val="single" w:sz="8" w:space="0" w:color="auto"/>
              <w:right w:val="single" w:sz="8" w:space="0" w:color="auto"/>
            </w:tcBorders>
            <w:noWrap/>
            <w:vAlign w:val="center"/>
            <w:hideMark/>
          </w:tcPr>
          <w:p w14:paraId="131132A3" w14:textId="77777777"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    </w:t>
            </w:r>
          </w:p>
        </w:tc>
        <w:tc>
          <w:tcPr>
            <w:tcW w:w="2452" w:type="dxa"/>
            <w:tcBorders>
              <w:top w:val="nil"/>
              <w:left w:val="nil"/>
              <w:bottom w:val="single" w:sz="8" w:space="0" w:color="auto"/>
              <w:right w:val="single" w:sz="8" w:space="0" w:color="auto"/>
            </w:tcBorders>
            <w:noWrap/>
            <w:vAlign w:val="center"/>
            <w:hideMark/>
          </w:tcPr>
          <w:p w14:paraId="15D0491F" w14:textId="77777777"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    </w:t>
            </w:r>
          </w:p>
        </w:tc>
      </w:tr>
      <w:tr w:rsidR="001E67A6" w:rsidRPr="00232EBB" w14:paraId="4B1B605D" w14:textId="77777777" w:rsidTr="001E67A6">
        <w:trPr>
          <w:trHeight w:val="51"/>
        </w:trPr>
        <w:tc>
          <w:tcPr>
            <w:tcW w:w="3924" w:type="dxa"/>
            <w:tcBorders>
              <w:top w:val="nil"/>
              <w:left w:val="single" w:sz="8" w:space="0" w:color="auto"/>
              <w:bottom w:val="single" w:sz="8" w:space="0" w:color="auto"/>
              <w:right w:val="single" w:sz="8" w:space="0" w:color="auto"/>
            </w:tcBorders>
            <w:noWrap/>
            <w:vAlign w:val="center"/>
            <w:hideMark/>
          </w:tcPr>
          <w:p w14:paraId="60CC2F24" w14:textId="77777777" w:rsidR="001E67A6" w:rsidRPr="00232EBB" w:rsidRDefault="001E67A6" w:rsidP="001E67A6">
            <w:pPr>
              <w:spacing w:after="0" w:line="240" w:lineRule="auto"/>
              <w:jc w:val="both"/>
              <w:rPr>
                <w:rFonts w:eastAsia="Calibri"/>
                <w:sz w:val="20"/>
                <w:szCs w:val="20"/>
                <w:lang w:val="es-DO"/>
              </w:rPr>
            </w:pPr>
            <w:r w:rsidRPr="00232EBB">
              <w:rPr>
                <w:rFonts w:eastAsia="Calibri"/>
                <w:sz w:val="20"/>
                <w:szCs w:val="20"/>
                <w:lang w:val="es-DO"/>
              </w:rPr>
              <w:t>2.9 - Gastos Financieros</w:t>
            </w:r>
          </w:p>
        </w:tc>
        <w:tc>
          <w:tcPr>
            <w:tcW w:w="2207" w:type="dxa"/>
            <w:tcBorders>
              <w:top w:val="nil"/>
              <w:left w:val="nil"/>
              <w:bottom w:val="single" w:sz="8" w:space="0" w:color="auto"/>
              <w:right w:val="single" w:sz="8" w:space="0" w:color="auto"/>
            </w:tcBorders>
            <w:noWrap/>
            <w:vAlign w:val="center"/>
            <w:hideMark/>
          </w:tcPr>
          <w:p w14:paraId="143964CD" w14:textId="77777777"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   </w:t>
            </w:r>
          </w:p>
        </w:tc>
        <w:tc>
          <w:tcPr>
            <w:tcW w:w="2207" w:type="dxa"/>
            <w:tcBorders>
              <w:top w:val="nil"/>
              <w:left w:val="nil"/>
              <w:bottom w:val="single" w:sz="8" w:space="0" w:color="auto"/>
              <w:right w:val="single" w:sz="8" w:space="0" w:color="auto"/>
            </w:tcBorders>
            <w:noWrap/>
            <w:vAlign w:val="center"/>
            <w:hideMark/>
          </w:tcPr>
          <w:p w14:paraId="78DCD573" w14:textId="77777777"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    </w:t>
            </w:r>
          </w:p>
        </w:tc>
        <w:tc>
          <w:tcPr>
            <w:tcW w:w="2452" w:type="dxa"/>
            <w:tcBorders>
              <w:top w:val="nil"/>
              <w:left w:val="nil"/>
              <w:bottom w:val="single" w:sz="8" w:space="0" w:color="auto"/>
              <w:right w:val="single" w:sz="8" w:space="0" w:color="auto"/>
            </w:tcBorders>
            <w:noWrap/>
            <w:vAlign w:val="center"/>
            <w:hideMark/>
          </w:tcPr>
          <w:p w14:paraId="4AF599D5" w14:textId="77777777" w:rsidR="001E67A6" w:rsidRPr="00232EBB" w:rsidRDefault="001E67A6" w:rsidP="001E67A6">
            <w:pPr>
              <w:spacing w:after="0" w:line="240" w:lineRule="auto"/>
              <w:jc w:val="right"/>
              <w:rPr>
                <w:rFonts w:eastAsia="Calibri"/>
                <w:sz w:val="20"/>
                <w:szCs w:val="20"/>
                <w:lang w:val="es-DO"/>
              </w:rPr>
            </w:pPr>
            <w:r w:rsidRPr="00232EBB">
              <w:rPr>
                <w:rFonts w:eastAsia="Calibri"/>
                <w:sz w:val="20"/>
                <w:szCs w:val="20"/>
                <w:lang w:val="es-DO"/>
              </w:rPr>
              <w:t xml:space="preserve">                                     -    </w:t>
            </w:r>
          </w:p>
        </w:tc>
      </w:tr>
      <w:tr w:rsidR="001E67A6" w:rsidRPr="00232EBB" w14:paraId="25077312" w14:textId="77777777" w:rsidTr="001E67A6">
        <w:trPr>
          <w:trHeight w:val="473"/>
        </w:trPr>
        <w:tc>
          <w:tcPr>
            <w:tcW w:w="3924" w:type="dxa"/>
            <w:tcBorders>
              <w:top w:val="nil"/>
              <w:left w:val="single" w:sz="8" w:space="0" w:color="auto"/>
              <w:bottom w:val="single" w:sz="8" w:space="0" w:color="auto"/>
              <w:right w:val="single" w:sz="8" w:space="0" w:color="auto"/>
            </w:tcBorders>
            <w:noWrap/>
            <w:vAlign w:val="center"/>
          </w:tcPr>
          <w:p w14:paraId="744C9D68" w14:textId="77777777" w:rsidR="001E67A6" w:rsidRPr="00232EBB" w:rsidRDefault="001E67A6" w:rsidP="001E67A6">
            <w:pPr>
              <w:spacing w:after="0" w:line="240" w:lineRule="auto"/>
              <w:jc w:val="both"/>
              <w:rPr>
                <w:rFonts w:eastAsia="Calibri"/>
                <w:b/>
                <w:bCs/>
                <w:sz w:val="20"/>
                <w:szCs w:val="20"/>
                <w:lang w:val="es-DO"/>
              </w:rPr>
            </w:pPr>
            <w:r w:rsidRPr="00232EBB">
              <w:rPr>
                <w:rFonts w:eastAsia="Calibri"/>
                <w:b/>
                <w:bCs/>
                <w:sz w:val="20"/>
                <w:szCs w:val="20"/>
                <w:lang w:val="es-DO"/>
              </w:rPr>
              <w:t>TOTAL, GASTOS</w:t>
            </w:r>
          </w:p>
        </w:tc>
        <w:tc>
          <w:tcPr>
            <w:tcW w:w="2207" w:type="dxa"/>
            <w:tcBorders>
              <w:top w:val="nil"/>
              <w:left w:val="nil"/>
              <w:bottom w:val="single" w:sz="8" w:space="0" w:color="auto"/>
              <w:right w:val="single" w:sz="8" w:space="0" w:color="auto"/>
            </w:tcBorders>
            <w:noWrap/>
            <w:vAlign w:val="center"/>
          </w:tcPr>
          <w:p w14:paraId="3A3FA5E1" w14:textId="77777777" w:rsidR="001E67A6" w:rsidRPr="00232EBB" w:rsidRDefault="001E67A6" w:rsidP="001E67A6">
            <w:pPr>
              <w:spacing w:after="0" w:line="240" w:lineRule="auto"/>
              <w:jc w:val="right"/>
              <w:rPr>
                <w:rFonts w:eastAsia="Calibri"/>
                <w:b/>
                <w:bCs/>
                <w:sz w:val="20"/>
                <w:szCs w:val="20"/>
                <w:lang w:val="es-DO"/>
              </w:rPr>
            </w:pPr>
            <w:r w:rsidRPr="00232EBB">
              <w:rPr>
                <w:rFonts w:eastAsia="Calibri"/>
                <w:b/>
                <w:bCs/>
                <w:sz w:val="20"/>
                <w:szCs w:val="20"/>
                <w:lang w:val="es-DO"/>
              </w:rPr>
              <w:t>22,467,404,819.00</w:t>
            </w:r>
          </w:p>
        </w:tc>
        <w:tc>
          <w:tcPr>
            <w:tcW w:w="2207" w:type="dxa"/>
            <w:tcBorders>
              <w:top w:val="nil"/>
              <w:left w:val="nil"/>
              <w:bottom w:val="single" w:sz="8" w:space="0" w:color="auto"/>
              <w:right w:val="single" w:sz="8" w:space="0" w:color="auto"/>
            </w:tcBorders>
            <w:noWrap/>
            <w:vAlign w:val="center"/>
          </w:tcPr>
          <w:p w14:paraId="36CB6F66" w14:textId="2F66F78B" w:rsidR="001E67A6" w:rsidRPr="00232EBB" w:rsidRDefault="00401F31" w:rsidP="001E67A6">
            <w:pPr>
              <w:spacing w:after="0" w:line="240" w:lineRule="auto"/>
              <w:jc w:val="right"/>
              <w:rPr>
                <w:rFonts w:eastAsia="Calibri"/>
                <w:b/>
                <w:bCs/>
                <w:sz w:val="20"/>
                <w:szCs w:val="20"/>
                <w:lang w:val="es-DO"/>
              </w:rPr>
            </w:pPr>
            <w:r>
              <w:rPr>
                <w:rFonts w:eastAsia="Calibri"/>
                <w:b/>
                <w:bCs/>
                <w:sz w:val="20"/>
                <w:szCs w:val="20"/>
                <w:lang w:val="es-DO"/>
              </w:rPr>
              <w:t>21,412,196,572.26</w:t>
            </w:r>
          </w:p>
        </w:tc>
        <w:tc>
          <w:tcPr>
            <w:tcW w:w="2452" w:type="dxa"/>
            <w:tcBorders>
              <w:top w:val="nil"/>
              <w:left w:val="nil"/>
              <w:bottom w:val="single" w:sz="8" w:space="0" w:color="auto"/>
              <w:right w:val="single" w:sz="8" w:space="0" w:color="auto"/>
            </w:tcBorders>
            <w:noWrap/>
            <w:vAlign w:val="center"/>
          </w:tcPr>
          <w:p w14:paraId="357D5A8C" w14:textId="58301775" w:rsidR="001E67A6" w:rsidRPr="00232EBB" w:rsidRDefault="001E67A6" w:rsidP="001E67A6">
            <w:pPr>
              <w:spacing w:after="0" w:line="240" w:lineRule="auto"/>
              <w:jc w:val="right"/>
              <w:rPr>
                <w:rFonts w:eastAsia="Calibri"/>
                <w:b/>
                <w:bCs/>
                <w:sz w:val="20"/>
                <w:szCs w:val="20"/>
                <w:lang w:val="es-DO"/>
              </w:rPr>
            </w:pPr>
            <w:r w:rsidRPr="00232EBB">
              <w:rPr>
                <w:rFonts w:eastAsia="Calibri"/>
                <w:b/>
                <w:bCs/>
                <w:sz w:val="20"/>
                <w:szCs w:val="20"/>
                <w:lang w:val="es-DO"/>
              </w:rPr>
              <w:t>20,</w:t>
            </w:r>
            <w:r w:rsidR="00401F31">
              <w:rPr>
                <w:rFonts w:eastAsia="Calibri"/>
                <w:b/>
                <w:bCs/>
                <w:sz w:val="20"/>
                <w:szCs w:val="20"/>
                <w:lang w:val="es-DO"/>
              </w:rPr>
              <w:t>939,743,007.93</w:t>
            </w:r>
          </w:p>
        </w:tc>
      </w:tr>
    </w:tbl>
    <w:p w14:paraId="53D76B4A" w14:textId="2600F218" w:rsidR="005E73B9" w:rsidRPr="00232EBB" w:rsidRDefault="00EE3355" w:rsidP="001E67A6">
      <w:pPr>
        <w:rPr>
          <w:rFonts w:eastAsia="Calibri"/>
          <w:sz w:val="18"/>
          <w:szCs w:val="18"/>
          <w:lang w:val="es-DO"/>
        </w:rPr>
      </w:pPr>
      <w:r w:rsidRPr="00232EBB">
        <w:rPr>
          <w:rFonts w:eastAsia="Calibri"/>
          <w:b/>
          <w:bCs/>
          <w:sz w:val="18"/>
          <w:szCs w:val="18"/>
          <w:lang w:val="es-DO"/>
        </w:rPr>
        <w:t xml:space="preserve">    </w:t>
      </w:r>
      <w:r w:rsidR="005E73B9" w:rsidRPr="00232EBB">
        <w:rPr>
          <w:rFonts w:eastAsia="Calibri"/>
          <w:b/>
          <w:bCs/>
          <w:sz w:val="18"/>
          <w:szCs w:val="18"/>
          <w:lang w:val="es-DO"/>
        </w:rPr>
        <w:t xml:space="preserve">Fuente: </w:t>
      </w:r>
      <w:r w:rsidR="005E73B9" w:rsidRPr="00232EBB">
        <w:rPr>
          <w:rFonts w:eastAsia="Calibri"/>
          <w:sz w:val="18"/>
          <w:szCs w:val="18"/>
          <w:lang w:val="es-DO"/>
        </w:rPr>
        <w:t>Dirección Financiera</w:t>
      </w:r>
      <w:r w:rsidR="005E73B9" w:rsidRPr="00232EBB">
        <w:rPr>
          <w:rFonts w:eastAsia="Calibri"/>
          <w:b/>
          <w:bCs/>
          <w:sz w:val="18"/>
          <w:szCs w:val="18"/>
          <w:lang w:val="es-DO"/>
        </w:rPr>
        <w:t xml:space="preserve"> </w:t>
      </w:r>
      <w:r w:rsidR="005E73B9" w:rsidRPr="00232EBB">
        <w:rPr>
          <w:rFonts w:eastAsia="Calibri"/>
          <w:sz w:val="18"/>
          <w:szCs w:val="18"/>
          <w:lang w:val="es-DO"/>
        </w:rPr>
        <w:t>202</w:t>
      </w:r>
      <w:r w:rsidR="00D21093" w:rsidRPr="00232EBB">
        <w:rPr>
          <w:rFonts w:eastAsia="Calibri"/>
          <w:sz w:val="18"/>
          <w:szCs w:val="18"/>
          <w:lang w:val="es-DO"/>
        </w:rPr>
        <w:t>5</w:t>
      </w:r>
      <w:r w:rsidR="005E73B9" w:rsidRPr="00232EBB">
        <w:rPr>
          <w:rFonts w:eastAsia="Calibri"/>
          <w:sz w:val="18"/>
          <w:szCs w:val="18"/>
          <w:lang w:val="es-DO"/>
        </w:rPr>
        <w:t>,</w:t>
      </w:r>
      <w:r w:rsidR="005E73B9" w:rsidRPr="00232EBB">
        <w:rPr>
          <w:lang w:val="es-DO"/>
        </w:rPr>
        <w:t xml:space="preserve"> </w:t>
      </w:r>
      <w:r w:rsidR="005E73B9" w:rsidRPr="00232EBB">
        <w:rPr>
          <w:rFonts w:eastAsia="Calibri"/>
          <w:sz w:val="18"/>
          <w:szCs w:val="18"/>
          <w:lang w:val="es-DO"/>
        </w:rPr>
        <w:t>ejecución Devengado 202</w:t>
      </w:r>
      <w:r w:rsidR="00D21093" w:rsidRPr="00232EBB">
        <w:rPr>
          <w:rFonts w:eastAsia="Calibri"/>
          <w:sz w:val="18"/>
          <w:szCs w:val="18"/>
          <w:lang w:val="es-DO"/>
        </w:rPr>
        <w:t>5</w:t>
      </w:r>
    </w:p>
    <w:p w14:paraId="19AC1711" w14:textId="77777777" w:rsidR="001E67A6" w:rsidRPr="00232EBB" w:rsidRDefault="001E67A6" w:rsidP="001E67A6">
      <w:pPr>
        <w:rPr>
          <w:rFonts w:eastAsia="Calibri"/>
          <w:sz w:val="18"/>
          <w:szCs w:val="18"/>
          <w:lang w:val="es-DO"/>
        </w:rPr>
      </w:pPr>
    </w:p>
    <w:p w14:paraId="7C0782BB" w14:textId="77777777" w:rsidR="00EE3355" w:rsidRPr="00232EBB" w:rsidRDefault="00EE3355" w:rsidP="005E73B9">
      <w:pPr>
        <w:ind w:left="-90"/>
        <w:rPr>
          <w:rFonts w:eastAsia="Calibri"/>
          <w:sz w:val="18"/>
          <w:szCs w:val="18"/>
          <w:lang w:val="es-DO"/>
        </w:rPr>
      </w:pPr>
    </w:p>
    <w:p w14:paraId="48B480B9" w14:textId="77777777" w:rsidR="00CC5CD4" w:rsidRPr="00232EBB" w:rsidRDefault="00CC5CD4" w:rsidP="00EE3355">
      <w:pPr>
        <w:pStyle w:val="Heading1"/>
        <w:spacing w:line="259" w:lineRule="auto"/>
        <w:ind w:left="990"/>
        <w:jc w:val="left"/>
        <w:rPr>
          <w:rFonts w:cs="Times New Roman"/>
          <w:lang w:val="es-DO"/>
        </w:rPr>
      </w:pPr>
    </w:p>
    <w:p w14:paraId="5469A0F7" w14:textId="77777777" w:rsidR="00CC5CD4" w:rsidRPr="00232EBB" w:rsidRDefault="00CC5CD4" w:rsidP="00CC5CD4">
      <w:pPr>
        <w:rPr>
          <w:lang w:val="es-DO"/>
        </w:rPr>
      </w:pPr>
    </w:p>
    <w:p w14:paraId="7EA35EBC" w14:textId="2C9E1C68" w:rsidR="002E6D74" w:rsidRPr="00232EBB" w:rsidRDefault="002E6D74" w:rsidP="00EE3355">
      <w:pPr>
        <w:pStyle w:val="Heading1"/>
        <w:spacing w:line="259" w:lineRule="auto"/>
        <w:ind w:left="990"/>
        <w:jc w:val="left"/>
        <w:rPr>
          <w:rFonts w:cs="Times New Roman"/>
          <w:lang w:val="es-DO"/>
        </w:rPr>
      </w:pPr>
      <w:bookmarkStart w:id="314" w:name="_Toc216952284"/>
      <w:r w:rsidRPr="00232EBB">
        <w:rPr>
          <w:rFonts w:cs="Times New Roman"/>
          <w:lang w:val="es-DO"/>
        </w:rPr>
        <w:lastRenderedPageBreak/>
        <w:t>7.5 Anexo 5: Resumen Plan Anual de Compras</w:t>
      </w:r>
      <w:bookmarkEnd w:id="314"/>
    </w:p>
    <w:p w14:paraId="78632A34" w14:textId="77777777" w:rsidR="005E73B9" w:rsidRPr="00232EBB" w:rsidRDefault="005E73B9" w:rsidP="005E73B9">
      <w:pPr>
        <w:spacing w:after="0" w:line="240" w:lineRule="auto"/>
        <w:jc w:val="center"/>
        <w:rPr>
          <w:rFonts w:eastAsia="Calibri"/>
          <w:lang w:val="es-DO"/>
        </w:rPr>
      </w:pPr>
    </w:p>
    <w:tbl>
      <w:tblPr>
        <w:tblW w:w="4572" w:type="pct"/>
        <w:jc w:val="center"/>
        <w:tblLook w:val="04A0" w:firstRow="1" w:lastRow="0" w:firstColumn="1" w:lastColumn="0" w:noHBand="0" w:noVBand="1"/>
      </w:tblPr>
      <w:tblGrid>
        <w:gridCol w:w="4904"/>
        <w:gridCol w:w="2600"/>
        <w:gridCol w:w="3021"/>
      </w:tblGrid>
      <w:tr w:rsidR="002E6D74" w:rsidRPr="00232EBB" w14:paraId="38748925" w14:textId="77777777" w:rsidTr="001E67A6">
        <w:trPr>
          <w:trHeight w:val="9"/>
          <w:tblHeader/>
          <w:jc w:val="center"/>
        </w:trPr>
        <w:tc>
          <w:tcPr>
            <w:tcW w:w="5000" w:type="pct"/>
            <w:gridSpan w:val="3"/>
            <w:tcBorders>
              <w:top w:val="single" w:sz="4" w:space="0" w:color="auto"/>
              <w:left w:val="single" w:sz="4" w:space="0" w:color="auto"/>
              <w:bottom w:val="single" w:sz="4" w:space="0" w:color="auto"/>
              <w:right w:val="single" w:sz="4" w:space="0" w:color="auto"/>
            </w:tcBorders>
            <w:shd w:val="clear" w:color="000000" w:fill="203764"/>
            <w:vAlign w:val="center"/>
            <w:hideMark/>
          </w:tcPr>
          <w:p w14:paraId="6506298A" w14:textId="237C6152" w:rsidR="002E6D74" w:rsidRPr="00232EBB" w:rsidRDefault="002E6D74" w:rsidP="006027F7">
            <w:pPr>
              <w:spacing w:after="0" w:line="360" w:lineRule="auto"/>
              <w:jc w:val="center"/>
              <w:rPr>
                <w:rFonts w:eastAsia="Times New Roman"/>
                <w:b/>
                <w:bCs/>
                <w:color w:val="808080" w:themeColor="background1" w:themeShade="80"/>
                <w:spacing w:val="0"/>
                <w:sz w:val="22"/>
                <w:szCs w:val="22"/>
              </w:rPr>
            </w:pPr>
            <w:r w:rsidRPr="00232EBB">
              <w:rPr>
                <w:rFonts w:eastAsia="Times New Roman"/>
                <w:b/>
                <w:bCs/>
                <w:color w:val="FFFFFF" w:themeColor="background1"/>
                <w:spacing w:val="0"/>
                <w:sz w:val="22"/>
                <w:szCs w:val="22"/>
              </w:rPr>
              <w:t>Datos de Cabecera PACC</w:t>
            </w:r>
          </w:p>
        </w:tc>
      </w:tr>
      <w:tr w:rsidR="002E6D74" w:rsidRPr="00232EBB" w14:paraId="3AE6B0B4" w14:textId="77777777" w:rsidTr="001E67A6">
        <w:trPr>
          <w:trHeight w:val="9"/>
          <w:jc w:val="center"/>
        </w:trPr>
        <w:tc>
          <w:tcPr>
            <w:tcW w:w="2178" w:type="pct"/>
            <w:tcBorders>
              <w:top w:val="nil"/>
              <w:left w:val="single" w:sz="4" w:space="0" w:color="auto"/>
              <w:bottom w:val="single" w:sz="4" w:space="0" w:color="auto"/>
              <w:right w:val="single" w:sz="4" w:space="0" w:color="auto"/>
            </w:tcBorders>
            <w:shd w:val="clear" w:color="000000" w:fill="FFFFFF"/>
            <w:vAlign w:val="center"/>
            <w:hideMark/>
          </w:tcPr>
          <w:p w14:paraId="69BE2D80" w14:textId="77777777" w:rsidR="002E6D74" w:rsidRPr="00232EBB" w:rsidRDefault="002E6D74" w:rsidP="006027F7">
            <w:pPr>
              <w:spacing w:after="0" w:line="360" w:lineRule="auto"/>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Monto estimado total</w:t>
            </w:r>
          </w:p>
        </w:tc>
        <w:tc>
          <w:tcPr>
            <w:tcW w:w="2822" w:type="pct"/>
            <w:gridSpan w:val="2"/>
            <w:tcBorders>
              <w:top w:val="nil"/>
              <w:left w:val="nil"/>
              <w:bottom w:val="single" w:sz="4" w:space="0" w:color="auto"/>
              <w:right w:val="single" w:sz="4" w:space="0" w:color="auto"/>
            </w:tcBorders>
            <w:shd w:val="clear" w:color="000000" w:fill="FFFFFF"/>
            <w:noWrap/>
            <w:vAlign w:val="bottom"/>
            <w:hideMark/>
          </w:tcPr>
          <w:p w14:paraId="3FE47844" w14:textId="2A6C9A22" w:rsidR="002E6D74" w:rsidRPr="00232EBB" w:rsidRDefault="002E6D74" w:rsidP="006027F7">
            <w:pPr>
              <w:spacing w:after="0" w:line="360" w:lineRule="auto"/>
              <w:jc w:val="right"/>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 xml:space="preserve"> RD$ </w:t>
            </w:r>
            <w:r w:rsidR="0067164E" w:rsidRPr="00232EBB">
              <w:rPr>
                <w:rFonts w:eastAsia="Times New Roman"/>
                <w:color w:val="808080" w:themeColor="background1" w:themeShade="80"/>
                <w:spacing w:val="0"/>
                <w:sz w:val="22"/>
                <w:szCs w:val="22"/>
                <w:lang w:val="es-DO"/>
              </w:rPr>
              <w:t>388,942,125.14</w:t>
            </w:r>
          </w:p>
        </w:tc>
      </w:tr>
      <w:tr w:rsidR="002E6D74" w:rsidRPr="00232EBB" w14:paraId="179336A4" w14:textId="77777777" w:rsidTr="001E67A6">
        <w:trPr>
          <w:trHeight w:val="9"/>
          <w:jc w:val="center"/>
        </w:trPr>
        <w:tc>
          <w:tcPr>
            <w:tcW w:w="2178" w:type="pct"/>
            <w:tcBorders>
              <w:top w:val="nil"/>
              <w:left w:val="single" w:sz="4" w:space="0" w:color="auto"/>
              <w:bottom w:val="single" w:sz="4" w:space="0" w:color="auto"/>
              <w:right w:val="single" w:sz="4" w:space="0" w:color="auto"/>
            </w:tcBorders>
            <w:shd w:val="clear" w:color="000000" w:fill="FFFFFF"/>
            <w:noWrap/>
            <w:vAlign w:val="bottom"/>
            <w:hideMark/>
          </w:tcPr>
          <w:p w14:paraId="3F15C7BA" w14:textId="77777777" w:rsidR="002E6D74" w:rsidRPr="00232EBB" w:rsidRDefault="002E6D74" w:rsidP="006027F7">
            <w:pPr>
              <w:spacing w:after="0" w:line="360" w:lineRule="auto"/>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Cantidad de procesos registrados</w:t>
            </w:r>
          </w:p>
        </w:tc>
        <w:tc>
          <w:tcPr>
            <w:tcW w:w="2822" w:type="pct"/>
            <w:gridSpan w:val="2"/>
            <w:tcBorders>
              <w:top w:val="nil"/>
              <w:left w:val="nil"/>
              <w:bottom w:val="single" w:sz="4" w:space="0" w:color="auto"/>
              <w:right w:val="single" w:sz="4" w:space="0" w:color="auto"/>
            </w:tcBorders>
            <w:shd w:val="clear" w:color="000000" w:fill="FFFFFF"/>
            <w:noWrap/>
            <w:vAlign w:val="bottom"/>
            <w:hideMark/>
          </w:tcPr>
          <w:p w14:paraId="419BF859" w14:textId="142F54E9" w:rsidR="002E6D74" w:rsidRPr="00232EBB" w:rsidRDefault="0067164E" w:rsidP="006027F7">
            <w:pPr>
              <w:spacing w:after="0" w:line="360" w:lineRule="auto"/>
              <w:jc w:val="right"/>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221</w:t>
            </w:r>
          </w:p>
        </w:tc>
      </w:tr>
      <w:tr w:rsidR="002E6D74" w:rsidRPr="00232EBB" w14:paraId="64F2B503" w14:textId="77777777" w:rsidTr="001E67A6">
        <w:trPr>
          <w:trHeight w:val="9"/>
          <w:jc w:val="center"/>
        </w:trPr>
        <w:tc>
          <w:tcPr>
            <w:tcW w:w="2178" w:type="pct"/>
            <w:tcBorders>
              <w:top w:val="nil"/>
              <w:left w:val="single" w:sz="4" w:space="0" w:color="auto"/>
              <w:bottom w:val="single" w:sz="4" w:space="0" w:color="auto"/>
              <w:right w:val="single" w:sz="4" w:space="0" w:color="auto"/>
            </w:tcBorders>
            <w:shd w:val="clear" w:color="000000" w:fill="FFFFFF"/>
            <w:noWrap/>
            <w:vAlign w:val="bottom"/>
            <w:hideMark/>
          </w:tcPr>
          <w:p w14:paraId="05A3EFEC" w14:textId="77777777" w:rsidR="002E6D74" w:rsidRPr="00232EBB" w:rsidRDefault="002E6D74" w:rsidP="006027F7">
            <w:pPr>
              <w:spacing w:after="0" w:line="360" w:lineRule="auto"/>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 xml:space="preserve">Capítulo </w:t>
            </w:r>
          </w:p>
        </w:tc>
        <w:tc>
          <w:tcPr>
            <w:tcW w:w="2822" w:type="pct"/>
            <w:gridSpan w:val="2"/>
            <w:tcBorders>
              <w:top w:val="nil"/>
              <w:left w:val="nil"/>
              <w:bottom w:val="single" w:sz="4" w:space="0" w:color="auto"/>
              <w:right w:val="single" w:sz="4" w:space="0" w:color="auto"/>
            </w:tcBorders>
            <w:shd w:val="clear" w:color="000000" w:fill="FFFFFF"/>
            <w:noWrap/>
            <w:vAlign w:val="bottom"/>
            <w:hideMark/>
          </w:tcPr>
          <w:p w14:paraId="7D37E901" w14:textId="77777777" w:rsidR="002E6D74" w:rsidRPr="00232EBB" w:rsidRDefault="002E6D74" w:rsidP="006027F7">
            <w:pPr>
              <w:spacing w:after="0" w:line="360" w:lineRule="auto"/>
              <w:jc w:val="right"/>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 xml:space="preserve"> 5211 </w:t>
            </w:r>
          </w:p>
        </w:tc>
      </w:tr>
      <w:tr w:rsidR="002E6D74" w:rsidRPr="00232EBB" w14:paraId="0E4A042F" w14:textId="77777777" w:rsidTr="001E67A6">
        <w:trPr>
          <w:trHeight w:val="9"/>
          <w:jc w:val="center"/>
        </w:trPr>
        <w:tc>
          <w:tcPr>
            <w:tcW w:w="2178" w:type="pct"/>
            <w:tcBorders>
              <w:top w:val="nil"/>
              <w:left w:val="single" w:sz="4" w:space="0" w:color="auto"/>
              <w:bottom w:val="single" w:sz="4" w:space="0" w:color="auto"/>
              <w:right w:val="single" w:sz="4" w:space="0" w:color="auto"/>
            </w:tcBorders>
            <w:shd w:val="clear" w:color="000000" w:fill="FFFFFF"/>
            <w:noWrap/>
            <w:vAlign w:val="bottom"/>
            <w:hideMark/>
          </w:tcPr>
          <w:p w14:paraId="4E17126D" w14:textId="77777777" w:rsidR="002E6D74" w:rsidRPr="00232EBB" w:rsidRDefault="002E6D74" w:rsidP="006027F7">
            <w:pPr>
              <w:spacing w:after="0" w:line="360" w:lineRule="auto"/>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Subcapítulo</w:t>
            </w:r>
          </w:p>
        </w:tc>
        <w:tc>
          <w:tcPr>
            <w:tcW w:w="2822" w:type="pct"/>
            <w:gridSpan w:val="2"/>
            <w:tcBorders>
              <w:top w:val="nil"/>
              <w:left w:val="nil"/>
              <w:bottom w:val="single" w:sz="4" w:space="0" w:color="auto"/>
              <w:right w:val="single" w:sz="4" w:space="0" w:color="auto"/>
            </w:tcBorders>
            <w:shd w:val="clear" w:color="000000" w:fill="FFFFFF"/>
            <w:noWrap/>
            <w:vAlign w:val="bottom"/>
            <w:hideMark/>
          </w:tcPr>
          <w:p w14:paraId="662AAD5F" w14:textId="77777777" w:rsidR="002E6D74" w:rsidRPr="00232EBB" w:rsidRDefault="002E6D74" w:rsidP="006027F7">
            <w:pPr>
              <w:spacing w:after="0" w:line="360" w:lineRule="auto"/>
              <w:jc w:val="right"/>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 xml:space="preserve"> 01 </w:t>
            </w:r>
          </w:p>
        </w:tc>
      </w:tr>
      <w:tr w:rsidR="002E6D74" w:rsidRPr="00232EBB" w14:paraId="74AA50B9" w14:textId="77777777" w:rsidTr="001E67A6">
        <w:trPr>
          <w:trHeight w:val="9"/>
          <w:jc w:val="center"/>
        </w:trPr>
        <w:tc>
          <w:tcPr>
            <w:tcW w:w="2178" w:type="pct"/>
            <w:tcBorders>
              <w:top w:val="nil"/>
              <w:left w:val="single" w:sz="4" w:space="0" w:color="auto"/>
              <w:bottom w:val="single" w:sz="4" w:space="0" w:color="auto"/>
              <w:right w:val="single" w:sz="4" w:space="0" w:color="auto"/>
            </w:tcBorders>
            <w:shd w:val="clear" w:color="000000" w:fill="FFFFFF"/>
            <w:noWrap/>
            <w:vAlign w:val="bottom"/>
            <w:hideMark/>
          </w:tcPr>
          <w:p w14:paraId="488F3D6A" w14:textId="77777777" w:rsidR="002E6D74" w:rsidRPr="00232EBB" w:rsidRDefault="002E6D74" w:rsidP="006027F7">
            <w:pPr>
              <w:spacing w:after="0" w:line="360" w:lineRule="auto"/>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Unidad ejecutora</w:t>
            </w:r>
          </w:p>
        </w:tc>
        <w:tc>
          <w:tcPr>
            <w:tcW w:w="2822" w:type="pct"/>
            <w:gridSpan w:val="2"/>
            <w:tcBorders>
              <w:top w:val="nil"/>
              <w:left w:val="nil"/>
              <w:bottom w:val="single" w:sz="4" w:space="0" w:color="auto"/>
              <w:right w:val="single" w:sz="4" w:space="0" w:color="auto"/>
            </w:tcBorders>
            <w:shd w:val="clear" w:color="000000" w:fill="FFFFFF"/>
            <w:noWrap/>
            <w:vAlign w:val="bottom"/>
            <w:hideMark/>
          </w:tcPr>
          <w:p w14:paraId="3A33EA25" w14:textId="77777777" w:rsidR="002E6D74" w:rsidRPr="00232EBB" w:rsidRDefault="002E6D74" w:rsidP="006027F7">
            <w:pPr>
              <w:spacing w:after="0" w:line="360" w:lineRule="auto"/>
              <w:jc w:val="right"/>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 xml:space="preserve"> 0001 </w:t>
            </w:r>
          </w:p>
        </w:tc>
      </w:tr>
      <w:tr w:rsidR="002E6D74" w:rsidRPr="004622C5" w14:paraId="5DD212D8" w14:textId="77777777" w:rsidTr="001E67A6">
        <w:trPr>
          <w:trHeight w:val="9"/>
          <w:jc w:val="center"/>
        </w:trPr>
        <w:tc>
          <w:tcPr>
            <w:tcW w:w="2178" w:type="pct"/>
            <w:tcBorders>
              <w:top w:val="nil"/>
              <w:left w:val="single" w:sz="4" w:space="0" w:color="auto"/>
              <w:bottom w:val="single" w:sz="4" w:space="0" w:color="auto"/>
              <w:right w:val="single" w:sz="4" w:space="0" w:color="auto"/>
            </w:tcBorders>
            <w:shd w:val="clear" w:color="000000" w:fill="FFFFFF"/>
            <w:noWrap/>
            <w:vAlign w:val="bottom"/>
            <w:hideMark/>
          </w:tcPr>
          <w:p w14:paraId="44E7CDC1" w14:textId="77777777" w:rsidR="002E6D74" w:rsidRPr="00232EBB" w:rsidRDefault="002E6D74" w:rsidP="006027F7">
            <w:pPr>
              <w:spacing w:after="0" w:line="360" w:lineRule="auto"/>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 xml:space="preserve">Unidad de compra </w:t>
            </w:r>
          </w:p>
        </w:tc>
        <w:tc>
          <w:tcPr>
            <w:tcW w:w="2822" w:type="pct"/>
            <w:gridSpan w:val="2"/>
            <w:tcBorders>
              <w:top w:val="nil"/>
              <w:left w:val="nil"/>
              <w:bottom w:val="single" w:sz="4" w:space="0" w:color="auto"/>
              <w:right w:val="single" w:sz="4" w:space="0" w:color="auto"/>
            </w:tcBorders>
            <w:shd w:val="clear" w:color="000000" w:fill="FFFFFF"/>
            <w:noWrap/>
            <w:vAlign w:val="bottom"/>
            <w:hideMark/>
          </w:tcPr>
          <w:p w14:paraId="0BCD4B65" w14:textId="77777777" w:rsidR="002E6D74" w:rsidRPr="00232EBB" w:rsidRDefault="002E6D74" w:rsidP="006027F7">
            <w:pPr>
              <w:spacing w:after="0" w:line="360" w:lineRule="auto"/>
              <w:jc w:val="right"/>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 xml:space="preserve"> Tesorería de la Seguridad Social </w:t>
            </w:r>
          </w:p>
        </w:tc>
      </w:tr>
      <w:tr w:rsidR="002E6D74" w:rsidRPr="00232EBB" w14:paraId="5C048727" w14:textId="77777777" w:rsidTr="001E67A6">
        <w:trPr>
          <w:trHeight w:val="9"/>
          <w:jc w:val="center"/>
        </w:trPr>
        <w:tc>
          <w:tcPr>
            <w:tcW w:w="2178" w:type="pct"/>
            <w:tcBorders>
              <w:top w:val="nil"/>
              <w:left w:val="single" w:sz="4" w:space="0" w:color="auto"/>
              <w:bottom w:val="single" w:sz="4" w:space="0" w:color="auto"/>
              <w:right w:val="single" w:sz="4" w:space="0" w:color="auto"/>
            </w:tcBorders>
            <w:shd w:val="clear" w:color="000000" w:fill="FFFFFF"/>
            <w:noWrap/>
            <w:vAlign w:val="bottom"/>
            <w:hideMark/>
          </w:tcPr>
          <w:p w14:paraId="5F29C84D" w14:textId="77777777" w:rsidR="002E6D74" w:rsidRPr="00232EBB" w:rsidRDefault="002E6D74" w:rsidP="006027F7">
            <w:pPr>
              <w:spacing w:after="0" w:line="360" w:lineRule="auto"/>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 xml:space="preserve">Año fiscal </w:t>
            </w:r>
          </w:p>
        </w:tc>
        <w:tc>
          <w:tcPr>
            <w:tcW w:w="2822" w:type="pct"/>
            <w:gridSpan w:val="2"/>
            <w:tcBorders>
              <w:top w:val="nil"/>
              <w:left w:val="nil"/>
              <w:bottom w:val="single" w:sz="4" w:space="0" w:color="auto"/>
              <w:right w:val="single" w:sz="4" w:space="0" w:color="auto"/>
            </w:tcBorders>
            <w:shd w:val="clear" w:color="000000" w:fill="FFFFFF"/>
            <w:noWrap/>
            <w:vAlign w:val="bottom"/>
            <w:hideMark/>
          </w:tcPr>
          <w:p w14:paraId="60F61806" w14:textId="05B95183" w:rsidR="002E6D74" w:rsidRPr="00232EBB" w:rsidRDefault="002E6D74" w:rsidP="006027F7">
            <w:pPr>
              <w:spacing w:after="0" w:line="360" w:lineRule="auto"/>
              <w:jc w:val="right"/>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 xml:space="preserve"> 202</w:t>
            </w:r>
            <w:r w:rsidR="0067164E" w:rsidRPr="00232EBB">
              <w:rPr>
                <w:rFonts w:eastAsia="Times New Roman"/>
                <w:color w:val="808080" w:themeColor="background1" w:themeShade="80"/>
                <w:spacing w:val="0"/>
                <w:sz w:val="22"/>
                <w:szCs w:val="22"/>
                <w:lang w:val="es-DO"/>
              </w:rPr>
              <w:t>5</w:t>
            </w:r>
            <w:r w:rsidRPr="00232EBB">
              <w:rPr>
                <w:rFonts w:eastAsia="Times New Roman"/>
                <w:color w:val="808080" w:themeColor="background1" w:themeShade="80"/>
                <w:spacing w:val="0"/>
                <w:sz w:val="22"/>
                <w:szCs w:val="22"/>
                <w:lang w:val="es-DO"/>
              </w:rPr>
              <w:t xml:space="preserve"> </w:t>
            </w:r>
          </w:p>
        </w:tc>
      </w:tr>
      <w:tr w:rsidR="002E6D74" w:rsidRPr="004622C5" w14:paraId="0A3D07B8" w14:textId="77777777" w:rsidTr="001E67A6">
        <w:trPr>
          <w:trHeight w:val="9"/>
          <w:jc w:val="center"/>
        </w:trPr>
        <w:tc>
          <w:tcPr>
            <w:tcW w:w="5000" w:type="pct"/>
            <w:gridSpan w:val="3"/>
            <w:tcBorders>
              <w:top w:val="single" w:sz="4" w:space="0" w:color="auto"/>
              <w:left w:val="single" w:sz="4" w:space="0" w:color="auto"/>
              <w:bottom w:val="single" w:sz="4" w:space="0" w:color="auto"/>
              <w:right w:val="single" w:sz="4" w:space="0" w:color="000000"/>
            </w:tcBorders>
            <w:shd w:val="clear" w:color="000000" w:fill="203764"/>
            <w:vAlign w:val="center"/>
            <w:hideMark/>
          </w:tcPr>
          <w:p w14:paraId="34C1CF5E" w14:textId="77777777" w:rsidR="002E6D74" w:rsidRPr="00232EBB" w:rsidRDefault="002E6D74" w:rsidP="006027F7">
            <w:pPr>
              <w:spacing w:after="0" w:line="360" w:lineRule="auto"/>
              <w:jc w:val="center"/>
              <w:rPr>
                <w:rFonts w:eastAsia="Times New Roman"/>
                <w:b/>
                <w:bCs/>
                <w:color w:val="808080" w:themeColor="background1" w:themeShade="80"/>
                <w:spacing w:val="0"/>
                <w:sz w:val="22"/>
                <w:szCs w:val="22"/>
                <w:lang w:val="es-ES"/>
              </w:rPr>
            </w:pPr>
            <w:r w:rsidRPr="00232EBB">
              <w:rPr>
                <w:rFonts w:eastAsia="Times New Roman"/>
                <w:b/>
                <w:bCs/>
                <w:color w:val="FFFFFF" w:themeColor="background1"/>
                <w:spacing w:val="0"/>
                <w:sz w:val="22"/>
                <w:szCs w:val="22"/>
                <w:lang w:val="es-ES"/>
              </w:rPr>
              <w:t>Montos estimados según objeto de contratación</w:t>
            </w:r>
          </w:p>
        </w:tc>
      </w:tr>
      <w:tr w:rsidR="002E6D74" w:rsidRPr="00232EBB" w14:paraId="4EB988BC" w14:textId="77777777" w:rsidTr="001E67A6">
        <w:trPr>
          <w:trHeight w:val="9"/>
          <w:jc w:val="center"/>
        </w:trPr>
        <w:tc>
          <w:tcPr>
            <w:tcW w:w="2178" w:type="pct"/>
            <w:tcBorders>
              <w:top w:val="nil"/>
              <w:left w:val="single" w:sz="4" w:space="0" w:color="auto"/>
              <w:bottom w:val="single" w:sz="4" w:space="0" w:color="auto"/>
              <w:right w:val="single" w:sz="4" w:space="0" w:color="auto"/>
            </w:tcBorders>
            <w:shd w:val="clear" w:color="000000" w:fill="FFFFFF"/>
            <w:noWrap/>
            <w:vAlign w:val="bottom"/>
            <w:hideMark/>
          </w:tcPr>
          <w:p w14:paraId="625DC4A8" w14:textId="77777777" w:rsidR="002E6D74" w:rsidRPr="00232EBB" w:rsidRDefault="002E6D74" w:rsidP="006027F7">
            <w:pPr>
              <w:spacing w:after="0" w:line="360" w:lineRule="auto"/>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Bienes</w:t>
            </w:r>
          </w:p>
        </w:tc>
        <w:tc>
          <w:tcPr>
            <w:tcW w:w="2822" w:type="pct"/>
            <w:gridSpan w:val="2"/>
            <w:tcBorders>
              <w:top w:val="nil"/>
              <w:left w:val="nil"/>
              <w:bottom w:val="single" w:sz="4" w:space="0" w:color="auto"/>
              <w:right w:val="single" w:sz="4" w:space="0" w:color="auto"/>
            </w:tcBorders>
            <w:shd w:val="clear" w:color="000000" w:fill="FFFFFF"/>
            <w:noWrap/>
            <w:vAlign w:val="bottom"/>
            <w:hideMark/>
          </w:tcPr>
          <w:p w14:paraId="424E3E51" w14:textId="666587B8" w:rsidR="002E6D74" w:rsidRPr="00232EBB" w:rsidRDefault="002E6D74" w:rsidP="006027F7">
            <w:pPr>
              <w:spacing w:after="0" w:line="360" w:lineRule="auto"/>
              <w:jc w:val="right"/>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RD$</w:t>
            </w:r>
            <w:r w:rsidR="0067164E" w:rsidRPr="00232EBB">
              <w:rPr>
                <w:rFonts w:eastAsia="Times New Roman"/>
                <w:color w:val="808080" w:themeColor="background1" w:themeShade="80"/>
                <w:spacing w:val="0"/>
                <w:sz w:val="22"/>
                <w:szCs w:val="22"/>
                <w:lang w:val="es-DO"/>
              </w:rPr>
              <w:t>61.227.943.12</w:t>
            </w:r>
          </w:p>
        </w:tc>
      </w:tr>
      <w:tr w:rsidR="0067164E" w:rsidRPr="00232EBB" w14:paraId="7D221480" w14:textId="77777777" w:rsidTr="001E67A6">
        <w:trPr>
          <w:trHeight w:val="9"/>
          <w:jc w:val="center"/>
        </w:trPr>
        <w:tc>
          <w:tcPr>
            <w:tcW w:w="2178" w:type="pct"/>
            <w:tcBorders>
              <w:top w:val="nil"/>
              <w:left w:val="single" w:sz="4" w:space="0" w:color="auto"/>
              <w:bottom w:val="single" w:sz="4" w:space="0" w:color="auto"/>
              <w:right w:val="single" w:sz="4" w:space="0" w:color="auto"/>
            </w:tcBorders>
            <w:shd w:val="clear" w:color="000000" w:fill="FFFFFF"/>
            <w:noWrap/>
            <w:vAlign w:val="bottom"/>
          </w:tcPr>
          <w:p w14:paraId="6A3146CF" w14:textId="4D70ED6B" w:rsidR="0067164E" w:rsidRPr="00232EBB" w:rsidRDefault="0067164E" w:rsidP="006027F7">
            <w:pPr>
              <w:spacing w:after="0" w:line="360" w:lineRule="auto"/>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Obras</w:t>
            </w:r>
          </w:p>
        </w:tc>
        <w:tc>
          <w:tcPr>
            <w:tcW w:w="2822" w:type="pct"/>
            <w:gridSpan w:val="2"/>
            <w:tcBorders>
              <w:top w:val="nil"/>
              <w:left w:val="nil"/>
              <w:bottom w:val="single" w:sz="4" w:space="0" w:color="auto"/>
              <w:right w:val="single" w:sz="4" w:space="0" w:color="auto"/>
            </w:tcBorders>
            <w:shd w:val="clear" w:color="000000" w:fill="FFFFFF"/>
            <w:noWrap/>
            <w:vAlign w:val="bottom"/>
          </w:tcPr>
          <w:p w14:paraId="7F766C34" w14:textId="7B0F7A6B" w:rsidR="0067164E" w:rsidRPr="00232EBB" w:rsidRDefault="0067164E" w:rsidP="006027F7">
            <w:pPr>
              <w:spacing w:after="0" w:line="360" w:lineRule="auto"/>
              <w:jc w:val="right"/>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RD$573.281.17</w:t>
            </w:r>
          </w:p>
        </w:tc>
      </w:tr>
      <w:tr w:rsidR="002E6D74" w:rsidRPr="00232EBB" w14:paraId="2028CABC" w14:textId="77777777" w:rsidTr="001E67A6">
        <w:trPr>
          <w:trHeight w:val="9"/>
          <w:jc w:val="center"/>
        </w:trPr>
        <w:tc>
          <w:tcPr>
            <w:tcW w:w="2178" w:type="pct"/>
            <w:tcBorders>
              <w:top w:val="nil"/>
              <w:left w:val="single" w:sz="4" w:space="0" w:color="auto"/>
              <w:bottom w:val="single" w:sz="4" w:space="0" w:color="auto"/>
              <w:right w:val="single" w:sz="4" w:space="0" w:color="auto"/>
            </w:tcBorders>
            <w:shd w:val="clear" w:color="000000" w:fill="FFFFFF"/>
            <w:noWrap/>
            <w:vAlign w:val="bottom"/>
            <w:hideMark/>
          </w:tcPr>
          <w:p w14:paraId="3EBF6FEF" w14:textId="77777777" w:rsidR="002E6D74" w:rsidRPr="00232EBB" w:rsidRDefault="002E6D74" w:rsidP="006027F7">
            <w:pPr>
              <w:spacing w:after="0" w:line="360" w:lineRule="auto"/>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Servicios</w:t>
            </w:r>
          </w:p>
        </w:tc>
        <w:tc>
          <w:tcPr>
            <w:tcW w:w="2822" w:type="pct"/>
            <w:gridSpan w:val="2"/>
            <w:tcBorders>
              <w:top w:val="nil"/>
              <w:left w:val="nil"/>
              <w:bottom w:val="single" w:sz="4" w:space="0" w:color="auto"/>
              <w:right w:val="single" w:sz="4" w:space="0" w:color="auto"/>
            </w:tcBorders>
            <w:shd w:val="clear" w:color="000000" w:fill="FFFFFF"/>
            <w:noWrap/>
            <w:vAlign w:val="bottom"/>
            <w:hideMark/>
          </w:tcPr>
          <w:p w14:paraId="51360348" w14:textId="0A74C134" w:rsidR="002E6D74" w:rsidRPr="00232EBB" w:rsidRDefault="0067164E" w:rsidP="006027F7">
            <w:pPr>
              <w:spacing w:after="0" w:line="360" w:lineRule="auto"/>
              <w:jc w:val="right"/>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RD$327,140,900.85</w:t>
            </w:r>
          </w:p>
        </w:tc>
      </w:tr>
      <w:tr w:rsidR="002E6D74" w:rsidRPr="004622C5" w14:paraId="1CE17F21" w14:textId="77777777" w:rsidTr="001E67A6">
        <w:trPr>
          <w:trHeight w:val="9"/>
          <w:jc w:val="center"/>
        </w:trPr>
        <w:tc>
          <w:tcPr>
            <w:tcW w:w="5000" w:type="pct"/>
            <w:gridSpan w:val="3"/>
            <w:tcBorders>
              <w:top w:val="single" w:sz="4" w:space="0" w:color="auto"/>
              <w:left w:val="single" w:sz="4" w:space="0" w:color="auto"/>
              <w:bottom w:val="single" w:sz="4" w:space="0" w:color="auto"/>
              <w:right w:val="single" w:sz="4" w:space="0" w:color="auto"/>
            </w:tcBorders>
            <w:shd w:val="clear" w:color="000000" w:fill="203764"/>
            <w:vAlign w:val="center"/>
            <w:hideMark/>
          </w:tcPr>
          <w:p w14:paraId="57F63F26" w14:textId="79305FFB" w:rsidR="002E6D74" w:rsidRPr="00232EBB" w:rsidRDefault="002E6D74" w:rsidP="006027F7">
            <w:pPr>
              <w:spacing w:after="0" w:line="360" w:lineRule="auto"/>
              <w:jc w:val="center"/>
              <w:rPr>
                <w:rFonts w:eastAsia="Times New Roman"/>
                <w:b/>
                <w:bCs/>
                <w:color w:val="808080" w:themeColor="background1" w:themeShade="80"/>
                <w:spacing w:val="0"/>
                <w:sz w:val="22"/>
                <w:szCs w:val="22"/>
                <w:lang w:val="es-ES"/>
              </w:rPr>
            </w:pPr>
            <w:r w:rsidRPr="00232EBB">
              <w:rPr>
                <w:rFonts w:eastAsia="Times New Roman"/>
                <w:b/>
                <w:bCs/>
                <w:color w:val="FFFFFF" w:themeColor="background1"/>
                <w:spacing w:val="0"/>
                <w:sz w:val="22"/>
                <w:szCs w:val="22"/>
                <w:lang w:val="es-ES"/>
              </w:rPr>
              <w:t xml:space="preserve">Montos estimados según clasificación </w:t>
            </w:r>
            <w:r w:rsidR="00247D12" w:rsidRPr="00232EBB">
              <w:rPr>
                <w:rFonts w:eastAsia="Times New Roman"/>
                <w:b/>
                <w:bCs/>
                <w:color w:val="FFFFFF" w:themeColor="background1"/>
                <w:spacing w:val="0"/>
                <w:sz w:val="22"/>
                <w:szCs w:val="22"/>
                <w:lang w:val="es-ES"/>
              </w:rPr>
              <w:t>MiPymes</w:t>
            </w:r>
          </w:p>
        </w:tc>
      </w:tr>
      <w:tr w:rsidR="002E6D74" w:rsidRPr="00232EBB" w14:paraId="4899396E" w14:textId="77777777" w:rsidTr="001E67A6">
        <w:trPr>
          <w:trHeight w:val="9"/>
          <w:jc w:val="center"/>
        </w:trPr>
        <w:tc>
          <w:tcPr>
            <w:tcW w:w="2178" w:type="pct"/>
            <w:tcBorders>
              <w:top w:val="nil"/>
              <w:left w:val="single" w:sz="4" w:space="0" w:color="auto"/>
              <w:bottom w:val="single" w:sz="4" w:space="0" w:color="auto"/>
              <w:right w:val="single" w:sz="4" w:space="0" w:color="auto"/>
            </w:tcBorders>
            <w:shd w:val="clear" w:color="000000" w:fill="FFFFFF"/>
            <w:noWrap/>
            <w:vAlign w:val="bottom"/>
            <w:hideMark/>
          </w:tcPr>
          <w:p w14:paraId="11D6E52A" w14:textId="42A8231D" w:rsidR="002E6D74" w:rsidRPr="00232EBB" w:rsidRDefault="00247D12" w:rsidP="006027F7">
            <w:pPr>
              <w:spacing w:after="0" w:line="360" w:lineRule="auto"/>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MiPymes</w:t>
            </w:r>
          </w:p>
        </w:tc>
        <w:tc>
          <w:tcPr>
            <w:tcW w:w="2822" w:type="pct"/>
            <w:gridSpan w:val="2"/>
            <w:tcBorders>
              <w:top w:val="nil"/>
              <w:left w:val="nil"/>
              <w:bottom w:val="single" w:sz="4" w:space="0" w:color="auto"/>
              <w:right w:val="single" w:sz="4" w:space="0" w:color="auto"/>
            </w:tcBorders>
            <w:shd w:val="clear" w:color="000000" w:fill="FFFFFF"/>
            <w:noWrap/>
            <w:vAlign w:val="bottom"/>
            <w:hideMark/>
          </w:tcPr>
          <w:p w14:paraId="7C223D5E" w14:textId="7A28BBC7" w:rsidR="002E6D74" w:rsidRPr="00232EBB" w:rsidRDefault="002E6D74" w:rsidP="006027F7">
            <w:pPr>
              <w:spacing w:after="0" w:line="360" w:lineRule="auto"/>
              <w:jc w:val="right"/>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RD$</w:t>
            </w:r>
            <w:r w:rsidR="0067164E" w:rsidRPr="00232EBB">
              <w:rPr>
                <w:rFonts w:eastAsia="Times New Roman"/>
                <w:color w:val="808080" w:themeColor="background1" w:themeShade="80"/>
                <w:spacing w:val="0"/>
                <w:sz w:val="22"/>
                <w:szCs w:val="22"/>
                <w:lang w:val="es-DO"/>
              </w:rPr>
              <w:t>47,367,535.44</w:t>
            </w:r>
          </w:p>
        </w:tc>
      </w:tr>
      <w:tr w:rsidR="002E6D74" w:rsidRPr="00232EBB" w14:paraId="654B0856" w14:textId="77777777" w:rsidTr="001E67A6">
        <w:trPr>
          <w:trHeight w:val="9"/>
          <w:jc w:val="center"/>
        </w:trPr>
        <w:tc>
          <w:tcPr>
            <w:tcW w:w="2178" w:type="pct"/>
            <w:tcBorders>
              <w:top w:val="nil"/>
              <w:left w:val="single" w:sz="4" w:space="0" w:color="auto"/>
              <w:bottom w:val="single" w:sz="4" w:space="0" w:color="auto"/>
              <w:right w:val="single" w:sz="4" w:space="0" w:color="auto"/>
            </w:tcBorders>
            <w:shd w:val="clear" w:color="000000" w:fill="FFFFFF"/>
            <w:noWrap/>
            <w:vAlign w:val="bottom"/>
            <w:hideMark/>
          </w:tcPr>
          <w:p w14:paraId="393D1B96" w14:textId="031D73C7" w:rsidR="002E6D74" w:rsidRPr="00232EBB" w:rsidRDefault="00247D12" w:rsidP="006027F7">
            <w:pPr>
              <w:spacing w:after="0" w:line="360" w:lineRule="auto"/>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MiPymes</w:t>
            </w:r>
            <w:r w:rsidR="002E6D74" w:rsidRPr="00232EBB">
              <w:rPr>
                <w:rFonts w:eastAsia="Times New Roman"/>
                <w:color w:val="808080" w:themeColor="background1" w:themeShade="80"/>
                <w:spacing w:val="0"/>
                <w:sz w:val="22"/>
                <w:szCs w:val="22"/>
                <w:lang w:val="es-DO"/>
              </w:rPr>
              <w:t xml:space="preserve"> mujer</w:t>
            </w:r>
          </w:p>
        </w:tc>
        <w:tc>
          <w:tcPr>
            <w:tcW w:w="2822" w:type="pct"/>
            <w:gridSpan w:val="2"/>
            <w:tcBorders>
              <w:top w:val="nil"/>
              <w:left w:val="nil"/>
              <w:bottom w:val="single" w:sz="4" w:space="0" w:color="auto"/>
              <w:right w:val="single" w:sz="4" w:space="0" w:color="auto"/>
            </w:tcBorders>
            <w:shd w:val="clear" w:color="000000" w:fill="FFFFFF"/>
            <w:noWrap/>
            <w:vAlign w:val="bottom"/>
            <w:hideMark/>
          </w:tcPr>
          <w:p w14:paraId="78580F2C" w14:textId="599A4F93" w:rsidR="002E6D74" w:rsidRPr="00232EBB" w:rsidRDefault="002E6D74" w:rsidP="006027F7">
            <w:pPr>
              <w:spacing w:after="0" w:line="360" w:lineRule="auto"/>
              <w:jc w:val="right"/>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RD$</w:t>
            </w:r>
            <w:r w:rsidR="0067164E" w:rsidRPr="00232EBB">
              <w:rPr>
                <w:rFonts w:eastAsia="Times New Roman"/>
                <w:color w:val="808080" w:themeColor="background1" w:themeShade="80"/>
                <w:spacing w:val="0"/>
                <w:sz w:val="22"/>
                <w:szCs w:val="22"/>
                <w:lang w:val="es-DO"/>
              </w:rPr>
              <w:t>4,338,585.20</w:t>
            </w:r>
          </w:p>
        </w:tc>
      </w:tr>
      <w:tr w:rsidR="002E6D74" w:rsidRPr="00232EBB" w14:paraId="5AE475B9" w14:textId="77777777" w:rsidTr="001E67A6">
        <w:trPr>
          <w:trHeight w:val="9"/>
          <w:jc w:val="center"/>
        </w:trPr>
        <w:tc>
          <w:tcPr>
            <w:tcW w:w="2178" w:type="pct"/>
            <w:tcBorders>
              <w:top w:val="nil"/>
              <w:left w:val="single" w:sz="4" w:space="0" w:color="auto"/>
              <w:bottom w:val="single" w:sz="4" w:space="0" w:color="auto"/>
              <w:right w:val="single" w:sz="4" w:space="0" w:color="auto"/>
            </w:tcBorders>
            <w:shd w:val="clear" w:color="000000" w:fill="FFFFFF"/>
            <w:noWrap/>
            <w:vAlign w:val="bottom"/>
            <w:hideMark/>
          </w:tcPr>
          <w:p w14:paraId="0A8BC71A" w14:textId="3617C328" w:rsidR="002E6D74" w:rsidRPr="00232EBB" w:rsidRDefault="002E6D74" w:rsidP="006027F7">
            <w:pPr>
              <w:spacing w:after="0" w:line="360" w:lineRule="auto"/>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 xml:space="preserve">No </w:t>
            </w:r>
            <w:r w:rsidR="00247D12" w:rsidRPr="00232EBB">
              <w:rPr>
                <w:rFonts w:eastAsia="Times New Roman"/>
                <w:color w:val="808080" w:themeColor="background1" w:themeShade="80"/>
                <w:spacing w:val="0"/>
                <w:sz w:val="22"/>
                <w:szCs w:val="22"/>
                <w:lang w:val="es-DO"/>
              </w:rPr>
              <w:t>MiPymes</w:t>
            </w:r>
          </w:p>
        </w:tc>
        <w:tc>
          <w:tcPr>
            <w:tcW w:w="2822" w:type="pct"/>
            <w:gridSpan w:val="2"/>
            <w:tcBorders>
              <w:top w:val="nil"/>
              <w:left w:val="nil"/>
              <w:bottom w:val="single" w:sz="4" w:space="0" w:color="auto"/>
              <w:right w:val="single" w:sz="4" w:space="0" w:color="auto"/>
            </w:tcBorders>
            <w:shd w:val="clear" w:color="000000" w:fill="FFFFFF"/>
            <w:noWrap/>
            <w:vAlign w:val="bottom"/>
            <w:hideMark/>
          </w:tcPr>
          <w:p w14:paraId="2F61ED97" w14:textId="5D2144D3" w:rsidR="002E6D74" w:rsidRPr="00232EBB" w:rsidRDefault="002E6D74" w:rsidP="006027F7">
            <w:pPr>
              <w:spacing w:after="0" w:line="360" w:lineRule="auto"/>
              <w:jc w:val="right"/>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RD$</w:t>
            </w:r>
            <w:r w:rsidR="0067164E" w:rsidRPr="00232EBB">
              <w:rPr>
                <w:rFonts w:eastAsia="Times New Roman"/>
                <w:color w:val="808080" w:themeColor="background1" w:themeShade="80"/>
                <w:spacing w:val="0"/>
                <w:sz w:val="22"/>
                <w:szCs w:val="22"/>
                <w:lang w:val="es-DO"/>
              </w:rPr>
              <w:t>337,236,004.50</w:t>
            </w:r>
          </w:p>
        </w:tc>
      </w:tr>
      <w:tr w:rsidR="002E6D74" w:rsidRPr="004622C5" w14:paraId="521F795E" w14:textId="77777777" w:rsidTr="001E67A6">
        <w:trPr>
          <w:trHeight w:val="9"/>
          <w:jc w:val="center"/>
        </w:trPr>
        <w:tc>
          <w:tcPr>
            <w:tcW w:w="5000" w:type="pct"/>
            <w:gridSpan w:val="3"/>
            <w:tcBorders>
              <w:top w:val="single" w:sz="4" w:space="0" w:color="auto"/>
              <w:left w:val="single" w:sz="4" w:space="0" w:color="auto"/>
              <w:bottom w:val="single" w:sz="4" w:space="0" w:color="auto"/>
              <w:right w:val="single" w:sz="4" w:space="0" w:color="auto"/>
            </w:tcBorders>
            <w:shd w:val="clear" w:color="000000" w:fill="203764"/>
            <w:vAlign w:val="center"/>
            <w:hideMark/>
          </w:tcPr>
          <w:p w14:paraId="09851912" w14:textId="77777777" w:rsidR="002E6D74" w:rsidRPr="00232EBB" w:rsidRDefault="002E6D74" w:rsidP="006027F7">
            <w:pPr>
              <w:spacing w:after="0" w:line="360" w:lineRule="auto"/>
              <w:jc w:val="center"/>
              <w:rPr>
                <w:rFonts w:eastAsia="Times New Roman"/>
                <w:b/>
                <w:bCs/>
                <w:color w:val="808080" w:themeColor="background1" w:themeShade="80"/>
                <w:spacing w:val="0"/>
                <w:sz w:val="22"/>
                <w:szCs w:val="22"/>
                <w:lang w:val="es-ES"/>
              </w:rPr>
            </w:pPr>
            <w:r w:rsidRPr="00232EBB">
              <w:rPr>
                <w:rFonts w:eastAsia="Times New Roman"/>
                <w:b/>
                <w:bCs/>
                <w:color w:val="FFFFFF" w:themeColor="background1"/>
                <w:spacing w:val="0"/>
                <w:sz w:val="22"/>
                <w:szCs w:val="22"/>
                <w:lang w:val="es-ES"/>
              </w:rPr>
              <w:t>Montos estimados según tipo de procedimiento</w:t>
            </w:r>
          </w:p>
        </w:tc>
      </w:tr>
      <w:tr w:rsidR="002E6D74" w:rsidRPr="00232EBB" w14:paraId="54A2DE37" w14:textId="77777777" w:rsidTr="001E67A6">
        <w:trPr>
          <w:trHeight w:val="9"/>
          <w:jc w:val="center"/>
        </w:trPr>
        <w:tc>
          <w:tcPr>
            <w:tcW w:w="3333" w:type="pct"/>
            <w:gridSpan w:val="2"/>
            <w:tcBorders>
              <w:top w:val="nil"/>
              <w:left w:val="single" w:sz="4" w:space="0" w:color="auto"/>
              <w:bottom w:val="single" w:sz="4" w:space="0" w:color="auto"/>
              <w:right w:val="single" w:sz="4" w:space="0" w:color="auto"/>
            </w:tcBorders>
            <w:shd w:val="clear" w:color="000000" w:fill="FFFFFF"/>
            <w:noWrap/>
            <w:vAlign w:val="bottom"/>
            <w:hideMark/>
          </w:tcPr>
          <w:p w14:paraId="1C7FDCF9" w14:textId="77777777" w:rsidR="002E6D74" w:rsidRPr="00232EBB" w:rsidRDefault="002E6D74" w:rsidP="006027F7">
            <w:pPr>
              <w:spacing w:after="0" w:line="360" w:lineRule="auto"/>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Compras por debajo del umbral</w:t>
            </w:r>
          </w:p>
        </w:tc>
        <w:tc>
          <w:tcPr>
            <w:tcW w:w="1667" w:type="pct"/>
            <w:tcBorders>
              <w:top w:val="nil"/>
              <w:left w:val="nil"/>
              <w:bottom w:val="single" w:sz="4" w:space="0" w:color="auto"/>
              <w:right w:val="single" w:sz="4" w:space="0" w:color="auto"/>
            </w:tcBorders>
            <w:shd w:val="clear" w:color="000000" w:fill="FFFFFF"/>
            <w:noWrap/>
            <w:vAlign w:val="bottom"/>
            <w:hideMark/>
          </w:tcPr>
          <w:p w14:paraId="704CFD6B" w14:textId="7A5AA661" w:rsidR="002E6D74" w:rsidRPr="00232EBB" w:rsidRDefault="002E6D74" w:rsidP="006027F7">
            <w:pPr>
              <w:spacing w:after="0" w:line="360" w:lineRule="auto"/>
              <w:jc w:val="right"/>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RD$</w:t>
            </w:r>
            <w:r w:rsidR="0067164E" w:rsidRPr="00232EBB">
              <w:rPr>
                <w:rFonts w:eastAsia="Times New Roman"/>
                <w:color w:val="808080" w:themeColor="background1" w:themeShade="80"/>
                <w:spacing w:val="0"/>
                <w:sz w:val="22"/>
                <w:szCs w:val="22"/>
                <w:lang w:val="es-DO"/>
              </w:rPr>
              <w:t>10,670,157.30</w:t>
            </w:r>
          </w:p>
        </w:tc>
      </w:tr>
      <w:tr w:rsidR="002E6D74" w:rsidRPr="00232EBB" w14:paraId="26B19C05" w14:textId="77777777" w:rsidTr="001E67A6">
        <w:trPr>
          <w:trHeight w:val="9"/>
          <w:jc w:val="center"/>
        </w:trPr>
        <w:tc>
          <w:tcPr>
            <w:tcW w:w="3333" w:type="pct"/>
            <w:gridSpan w:val="2"/>
            <w:tcBorders>
              <w:top w:val="nil"/>
              <w:left w:val="single" w:sz="4" w:space="0" w:color="auto"/>
              <w:bottom w:val="single" w:sz="4" w:space="0" w:color="auto"/>
              <w:right w:val="single" w:sz="4" w:space="0" w:color="auto"/>
            </w:tcBorders>
            <w:shd w:val="clear" w:color="000000" w:fill="FFFFFF"/>
            <w:noWrap/>
            <w:vAlign w:val="bottom"/>
            <w:hideMark/>
          </w:tcPr>
          <w:p w14:paraId="0733D700" w14:textId="77777777" w:rsidR="002E6D74" w:rsidRPr="00232EBB" w:rsidRDefault="002E6D74" w:rsidP="006027F7">
            <w:pPr>
              <w:spacing w:after="0" w:line="360" w:lineRule="auto"/>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Compra menor</w:t>
            </w:r>
          </w:p>
        </w:tc>
        <w:tc>
          <w:tcPr>
            <w:tcW w:w="1667" w:type="pct"/>
            <w:tcBorders>
              <w:top w:val="nil"/>
              <w:left w:val="nil"/>
              <w:bottom w:val="single" w:sz="4" w:space="0" w:color="auto"/>
              <w:right w:val="single" w:sz="4" w:space="0" w:color="auto"/>
            </w:tcBorders>
            <w:shd w:val="clear" w:color="000000" w:fill="FFFFFF"/>
            <w:noWrap/>
            <w:vAlign w:val="bottom"/>
            <w:hideMark/>
          </w:tcPr>
          <w:p w14:paraId="6ACBC781" w14:textId="5DBCD317" w:rsidR="002E6D74" w:rsidRPr="00232EBB" w:rsidRDefault="002E6D74" w:rsidP="006027F7">
            <w:pPr>
              <w:spacing w:after="0" w:line="360" w:lineRule="auto"/>
              <w:jc w:val="right"/>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RD$</w:t>
            </w:r>
            <w:r w:rsidR="0067164E" w:rsidRPr="00232EBB">
              <w:rPr>
                <w:rFonts w:eastAsia="Times New Roman"/>
                <w:color w:val="808080" w:themeColor="background1" w:themeShade="80"/>
                <w:spacing w:val="0"/>
                <w:sz w:val="22"/>
                <w:szCs w:val="22"/>
                <w:lang w:val="es-DO"/>
              </w:rPr>
              <w:t>55,072,211.94</w:t>
            </w:r>
          </w:p>
        </w:tc>
      </w:tr>
      <w:tr w:rsidR="002E6D74" w:rsidRPr="00232EBB" w14:paraId="52E322DF" w14:textId="77777777" w:rsidTr="001E67A6">
        <w:trPr>
          <w:trHeight w:val="9"/>
          <w:jc w:val="center"/>
        </w:trPr>
        <w:tc>
          <w:tcPr>
            <w:tcW w:w="3333" w:type="pct"/>
            <w:gridSpan w:val="2"/>
            <w:tcBorders>
              <w:top w:val="nil"/>
              <w:left w:val="single" w:sz="4" w:space="0" w:color="auto"/>
              <w:bottom w:val="single" w:sz="4" w:space="0" w:color="auto"/>
              <w:right w:val="single" w:sz="4" w:space="0" w:color="auto"/>
            </w:tcBorders>
            <w:shd w:val="clear" w:color="000000" w:fill="FFFFFF"/>
            <w:noWrap/>
            <w:vAlign w:val="bottom"/>
            <w:hideMark/>
          </w:tcPr>
          <w:p w14:paraId="06BB44E9" w14:textId="77777777" w:rsidR="002E6D74" w:rsidRPr="00232EBB" w:rsidRDefault="002E6D74" w:rsidP="006027F7">
            <w:pPr>
              <w:spacing w:after="0" w:line="360" w:lineRule="auto"/>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Comparación de precios</w:t>
            </w:r>
          </w:p>
        </w:tc>
        <w:tc>
          <w:tcPr>
            <w:tcW w:w="1667" w:type="pct"/>
            <w:tcBorders>
              <w:top w:val="nil"/>
              <w:left w:val="nil"/>
              <w:bottom w:val="single" w:sz="4" w:space="0" w:color="auto"/>
              <w:right w:val="single" w:sz="4" w:space="0" w:color="auto"/>
            </w:tcBorders>
            <w:shd w:val="clear" w:color="000000" w:fill="FFFFFF"/>
            <w:noWrap/>
            <w:vAlign w:val="bottom"/>
            <w:hideMark/>
          </w:tcPr>
          <w:p w14:paraId="594F50FF" w14:textId="53A93C48" w:rsidR="002E6D74" w:rsidRPr="00232EBB" w:rsidRDefault="002E6D74" w:rsidP="006027F7">
            <w:pPr>
              <w:spacing w:after="0" w:line="360" w:lineRule="auto"/>
              <w:jc w:val="right"/>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RD$</w:t>
            </w:r>
            <w:r w:rsidR="0067164E" w:rsidRPr="00232EBB">
              <w:rPr>
                <w:rFonts w:eastAsia="Times New Roman"/>
                <w:color w:val="808080" w:themeColor="background1" w:themeShade="80"/>
                <w:spacing w:val="0"/>
                <w:sz w:val="22"/>
                <w:szCs w:val="22"/>
                <w:lang w:val="es-DO"/>
              </w:rPr>
              <w:t>42,605,405.98</w:t>
            </w:r>
            <w:r w:rsidRPr="00232EBB">
              <w:rPr>
                <w:rFonts w:eastAsia="Times New Roman"/>
                <w:color w:val="808080" w:themeColor="background1" w:themeShade="80"/>
                <w:spacing w:val="0"/>
                <w:sz w:val="22"/>
                <w:szCs w:val="22"/>
                <w:lang w:val="es-DO"/>
              </w:rPr>
              <w:t xml:space="preserve"> </w:t>
            </w:r>
          </w:p>
        </w:tc>
      </w:tr>
      <w:tr w:rsidR="002E6D74" w:rsidRPr="00232EBB" w14:paraId="4C14348C" w14:textId="77777777" w:rsidTr="001E67A6">
        <w:trPr>
          <w:trHeight w:val="9"/>
          <w:jc w:val="center"/>
        </w:trPr>
        <w:tc>
          <w:tcPr>
            <w:tcW w:w="3333" w:type="pct"/>
            <w:gridSpan w:val="2"/>
            <w:tcBorders>
              <w:top w:val="nil"/>
              <w:left w:val="single" w:sz="4" w:space="0" w:color="auto"/>
              <w:bottom w:val="nil"/>
              <w:right w:val="single" w:sz="4" w:space="0" w:color="auto"/>
            </w:tcBorders>
            <w:shd w:val="clear" w:color="000000" w:fill="FFFFFF"/>
            <w:noWrap/>
            <w:vAlign w:val="bottom"/>
            <w:hideMark/>
          </w:tcPr>
          <w:p w14:paraId="6EBDB5DA" w14:textId="77777777" w:rsidR="002E6D74" w:rsidRPr="00232EBB" w:rsidRDefault="002E6D74" w:rsidP="006027F7">
            <w:pPr>
              <w:spacing w:after="0" w:line="360" w:lineRule="auto"/>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lastRenderedPageBreak/>
              <w:t>Licitación pública</w:t>
            </w:r>
          </w:p>
        </w:tc>
        <w:tc>
          <w:tcPr>
            <w:tcW w:w="1667" w:type="pct"/>
            <w:tcBorders>
              <w:top w:val="nil"/>
              <w:left w:val="nil"/>
              <w:bottom w:val="nil"/>
              <w:right w:val="single" w:sz="4" w:space="0" w:color="auto"/>
            </w:tcBorders>
            <w:shd w:val="clear" w:color="000000" w:fill="FFFFFF"/>
            <w:noWrap/>
            <w:vAlign w:val="bottom"/>
            <w:hideMark/>
          </w:tcPr>
          <w:p w14:paraId="7EF65B29" w14:textId="67C535AA" w:rsidR="002E6D74" w:rsidRPr="00232EBB" w:rsidRDefault="002E6D74" w:rsidP="006027F7">
            <w:pPr>
              <w:spacing w:after="0" w:line="360" w:lineRule="auto"/>
              <w:jc w:val="right"/>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RD$</w:t>
            </w:r>
            <w:r w:rsidR="0067164E" w:rsidRPr="00232EBB">
              <w:rPr>
                <w:rFonts w:eastAsia="Times New Roman"/>
                <w:color w:val="808080" w:themeColor="background1" w:themeShade="80"/>
                <w:spacing w:val="0"/>
                <w:sz w:val="22"/>
                <w:szCs w:val="22"/>
                <w:lang w:val="es-DO"/>
              </w:rPr>
              <w:t>182,087,777.78</w:t>
            </w:r>
          </w:p>
        </w:tc>
      </w:tr>
      <w:tr w:rsidR="002E6D74" w:rsidRPr="004622C5" w14:paraId="6D7844B7" w14:textId="77777777" w:rsidTr="001E67A6">
        <w:trPr>
          <w:trHeight w:val="9"/>
          <w:jc w:val="center"/>
        </w:trPr>
        <w:tc>
          <w:tcPr>
            <w:tcW w:w="5000" w:type="pct"/>
            <w:gridSpan w:val="3"/>
            <w:tcBorders>
              <w:top w:val="single" w:sz="4" w:space="0" w:color="auto"/>
              <w:left w:val="single" w:sz="4" w:space="0" w:color="auto"/>
              <w:bottom w:val="single" w:sz="4" w:space="0" w:color="auto"/>
              <w:right w:val="single" w:sz="4" w:space="0" w:color="auto"/>
            </w:tcBorders>
            <w:shd w:val="clear" w:color="000000" w:fill="203764"/>
            <w:vAlign w:val="center"/>
            <w:hideMark/>
          </w:tcPr>
          <w:p w14:paraId="3E30B40E" w14:textId="77777777" w:rsidR="002E6D74" w:rsidRPr="00232EBB" w:rsidRDefault="002E6D74" w:rsidP="006027F7">
            <w:pPr>
              <w:spacing w:after="0" w:line="360" w:lineRule="auto"/>
              <w:jc w:val="center"/>
              <w:rPr>
                <w:rFonts w:eastAsia="Times New Roman"/>
                <w:b/>
                <w:bCs/>
                <w:color w:val="808080" w:themeColor="background1" w:themeShade="80"/>
                <w:spacing w:val="0"/>
                <w:sz w:val="22"/>
                <w:szCs w:val="22"/>
                <w:lang w:val="es-ES"/>
              </w:rPr>
            </w:pPr>
            <w:r w:rsidRPr="00232EBB">
              <w:rPr>
                <w:rFonts w:eastAsia="Times New Roman"/>
                <w:b/>
                <w:bCs/>
                <w:color w:val="FFFFFF" w:themeColor="background1"/>
                <w:spacing w:val="0"/>
                <w:sz w:val="22"/>
                <w:szCs w:val="22"/>
                <w:lang w:val="es-ES"/>
              </w:rPr>
              <w:t>Excepción - contratación de publicidad a través de medios de comunicación social</w:t>
            </w:r>
          </w:p>
        </w:tc>
      </w:tr>
      <w:tr w:rsidR="002E6D74" w:rsidRPr="00232EBB" w14:paraId="1D59D4D4" w14:textId="77777777" w:rsidTr="001E67A6">
        <w:trPr>
          <w:trHeight w:val="9"/>
          <w:jc w:val="center"/>
        </w:trPr>
        <w:tc>
          <w:tcPr>
            <w:tcW w:w="3333" w:type="pct"/>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14:paraId="39F11332" w14:textId="77777777" w:rsidR="002E6D74" w:rsidRPr="00232EBB" w:rsidRDefault="002E6D74" w:rsidP="006027F7">
            <w:pPr>
              <w:spacing w:after="0" w:line="360" w:lineRule="auto"/>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Excepción – contratación de publicidad a través de medios de comunicación social</w:t>
            </w:r>
          </w:p>
        </w:tc>
        <w:tc>
          <w:tcPr>
            <w:tcW w:w="1667" w:type="pct"/>
            <w:tcBorders>
              <w:top w:val="single" w:sz="4" w:space="0" w:color="auto"/>
              <w:left w:val="nil"/>
              <w:bottom w:val="single" w:sz="4" w:space="0" w:color="auto"/>
              <w:right w:val="single" w:sz="4" w:space="0" w:color="auto"/>
            </w:tcBorders>
            <w:shd w:val="clear" w:color="000000" w:fill="FFFFFF"/>
            <w:noWrap/>
            <w:vAlign w:val="bottom"/>
          </w:tcPr>
          <w:p w14:paraId="707A4299" w14:textId="0C47846B" w:rsidR="002E6D74" w:rsidRPr="00232EBB" w:rsidRDefault="002E6D74" w:rsidP="006027F7">
            <w:pPr>
              <w:spacing w:after="0" w:line="360" w:lineRule="auto"/>
              <w:jc w:val="right"/>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RD$</w:t>
            </w:r>
            <w:r w:rsidR="0067164E" w:rsidRPr="00232EBB">
              <w:rPr>
                <w:rFonts w:eastAsia="Times New Roman"/>
                <w:color w:val="808080" w:themeColor="background1" w:themeShade="80"/>
                <w:spacing w:val="0"/>
                <w:sz w:val="22"/>
                <w:szCs w:val="22"/>
                <w:lang w:val="es-DO"/>
              </w:rPr>
              <w:t>3,248,299.99</w:t>
            </w:r>
          </w:p>
        </w:tc>
      </w:tr>
      <w:tr w:rsidR="002E6D74" w:rsidRPr="00232EBB" w14:paraId="36D05B02" w14:textId="77777777" w:rsidTr="001E67A6">
        <w:trPr>
          <w:trHeight w:val="9"/>
          <w:jc w:val="center"/>
        </w:trPr>
        <w:tc>
          <w:tcPr>
            <w:tcW w:w="3333" w:type="pct"/>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14:paraId="1A469C90" w14:textId="77777777" w:rsidR="002E6D74" w:rsidRPr="00232EBB" w:rsidRDefault="002E6D74" w:rsidP="006027F7">
            <w:pPr>
              <w:spacing w:after="0" w:line="360" w:lineRule="auto"/>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Excepción – Bienes o servicios con exclusividad</w:t>
            </w:r>
          </w:p>
        </w:tc>
        <w:tc>
          <w:tcPr>
            <w:tcW w:w="1667" w:type="pct"/>
            <w:tcBorders>
              <w:top w:val="single" w:sz="4" w:space="0" w:color="auto"/>
              <w:left w:val="nil"/>
              <w:bottom w:val="single" w:sz="4" w:space="0" w:color="auto"/>
              <w:right w:val="single" w:sz="4" w:space="0" w:color="auto"/>
            </w:tcBorders>
            <w:shd w:val="clear" w:color="000000" w:fill="FFFFFF"/>
            <w:noWrap/>
            <w:vAlign w:val="bottom"/>
          </w:tcPr>
          <w:p w14:paraId="21F10819" w14:textId="1976B391" w:rsidR="002E6D74" w:rsidRPr="00232EBB" w:rsidRDefault="002E6D74" w:rsidP="006027F7">
            <w:pPr>
              <w:spacing w:after="0" w:line="360" w:lineRule="auto"/>
              <w:jc w:val="right"/>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RD$</w:t>
            </w:r>
            <w:r w:rsidR="0067164E" w:rsidRPr="00232EBB">
              <w:rPr>
                <w:rFonts w:eastAsia="Times New Roman"/>
                <w:color w:val="808080" w:themeColor="background1" w:themeShade="80"/>
                <w:spacing w:val="0"/>
                <w:sz w:val="22"/>
                <w:szCs w:val="22"/>
                <w:lang w:val="es-DO"/>
              </w:rPr>
              <w:t>14,263,460.85</w:t>
            </w:r>
          </w:p>
        </w:tc>
      </w:tr>
      <w:tr w:rsidR="002E6D74" w:rsidRPr="00232EBB" w14:paraId="1AA599B0" w14:textId="77777777" w:rsidTr="001E67A6">
        <w:trPr>
          <w:trHeight w:val="9"/>
          <w:jc w:val="center"/>
        </w:trPr>
        <w:tc>
          <w:tcPr>
            <w:tcW w:w="3333" w:type="pct"/>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14:paraId="724030D8" w14:textId="77777777" w:rsidR="002E6D74" w:rsidRPr="00232EBB" w:rsidRDefault="002E6D74" w:rsidP="006027F7">
            <w:pPr>
              <w:spacing w:after="0" w:line="360" w:lineRule="auto"/>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Excepción - proveedor único</w:t>
            </w:r>
          </w:p>
        </w:tc>
        <w:tc>
          <w:tcPr>
            <w:tcW w:w="1667" w:type="pct"/>
            <w:tcBorders>
              <w:top w:val="single" w:sz="4" w:space="0" w:color="auto"/>
              <w:left w:val="nil"/>
              <w:bottom w:val="single" w:sz="4" w:space="0" w:color="auto"/>
              <w:right w:val="single" w:sz="4" w:space="0" w:color="auto"/>
            </w:tcBorders>
            <w:shd w:val="clear" w:color="000000" w:fill="FFFFFF"/>
            <w:noWrap/>
            <w:vAlign w:val="bottom"/>
          </w:tcPr>
          <w:p w14:paraId="239EB57F" w14:textId="4271F236" w:rsidR="002E6D74" w:rsidRPr="00232EBB" w:rsidRDefault="002E6D74" w:rsidP="006027F7">
            <w:pPr>
              <w:spacing w:after="0" w:line="360" w:lineRule="auto"/>
              <w:jc w:val="right"/>
              <w:rPr>
                <w:rFonts w:eastAsia="Times New Roman"/>
                <w:color w:val="808080" w:themeColor="background1" w:themeShade="80"/>
                <w:spacing w:val="0"/>
                <w:sz w:val="22"/>
                <w:szCs w:val="22"/>
                <w:lang w:val="es-DO"/>
              </w:rPr>
            </w:pPr>
            <w:r w:rsidRPr="00232EBB">
              <w:rPr>
                <w:rFonts w:eastAsia="Times New Roman"/>
                <w:color w:val="808080" w:themeColor="background1" w:themeShade="80"/>
                <w:spacing w:val="0"/>
                <w:sz w:val="22"/>
                <w:szCs w:val="22"/>
                <w:lang w:val="es-DO"/>
              </w:rPr>
              <w:t>RD$</w:t>
            </w:r>
            <w:r w:rsidR="0067164E" w:rsidRPr="00232EBB">
              <w:rPr>
                <w:rFonts w:eastAsia="Times New Roman"/>
                <w:color w:val="808080" w:themeColor="background1" w:themeShade="80"/>
                <w:spacing w:val="0"/>
                <w:sz w:val="22"/>
                <w:szCs w:val="22"/>
                <w:lang w:val="es-DO"/>
              </w:rPr>
              <w:t>80,994,811.31</w:t>
            </w:r>
          </w:p>
        </w:tc>
      </w:tr>
    </w:tbl>
    <w:p w14:paraId="57EDA65A" w14:textId="73807E5B" w:rsidR="002E6D74" w:rsidRPr="00232EBB" w:rsidRDefault="002E6D74" w:rsidP="002E6D74">
      <w:pPr>
        <w:spacing w:after="0" w:line="360" w:lineRule="auto"/>
        <w:rPr>
          <w:rFonts w:eastAsia="Calibri"/>
          <w:noProof/>
          <w:color w:val="808080" w:themeColor="background1" w:themeShade="80"/>
          <w:sz w:val="18"/>
          <w:szCs w:val="18"/>
          <w:lang w:val="es-DO"/>
        </w:rPr>
      </w:pPr>
      <w:r w:rsidRPr="00232EBB">
        <w:rPr>
          <w:rFonts w:eastAsia="Calibri"/>
          <w:b/>
          <w:bCs/>
          <w:noProof/>
          <w:color w:val="808080" w:themeColor="background1" w:themeShade="80"/>
          <w:sz w:val="18"/>
          <w:szCs w:val="18"/>
          <w:lang w:val="es-ES"/>
        </w:rPr>
        <w:t xml:space="preserve">                Fuente:</w:t>
      </w:r>
      <w:r w:rsidRPr="00232EBB">
        <w:rPr>
          <w:rFonts w:eastAsia="Calibri"/>
          <w:noProof/>
          <w:color w:val="808080" w:themeColor="background1" w:themeShade="80"/>
          <w:sz w:val="18"/>
          <w:szCs w:val="18"/>
          <w:lang w:val="es-ES"/>
        </w:rPr>
        <w:t xml:space="preserve">   Sistema Electrónico de Contrataciones Públicas (SECP)</w:t>
      </w:r>
    </w:p>
    <w:p w14:paraId="18E06C01" w14:textId="77777777" w:rsidR="005E73B9" w:rsidRPr="00232EBB" w:rsidRDefault="005E73B9" w:rsidP="005E73B9">
      <w:pPr>
        <w:spacing w:after="0" w:line="240" w:lineRule="auto"/>
        <w:jc w:val="center"/>
        <w:rPr>
          <w:rFonts w:eastAsia="Calibri"/>
          <w:lang w:val="es-DO"/>
        </w:rPr>
      </w:pPr>
    </w:p>
    <w:sectPr w:rsidR="005E73B9" w:rsidRPr="00232EBB" w:rsidSect="0032612F">
      <w:pgSz w:w="15840" w:h="12240" w:orient="landscape"/>
      <w:pgMar w:top="1440" w:right="2160" w:bottom="1440" w:left="216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AB12B6" w14:textId="77777777" w:rsidR="00F8745A" w:rsidRDefault="00F8745A" w:rsidP="00E84651">
      <w:pPr>
        <w:spacing w:after="0" w:line="240" w:lineRule="auto"/>
      </w:pPr>
      <w:r>
        <w:separator/>
      </w:r>
    </w:p>
  </w:endnote>
  <w:endnote w:type="continuationSeparator" w:id="0">
    <w:p w14:paraId="49955234" w14:textId="77777777" w:rsidR="00F8745A" w:rsidRDefault="00F8745A" w:rsidP="00E84651">
      <w:pPr>
        <w:spacing w:after="0" w:line="240" w:lineRule="auto"/>
      </w:pPr>
      <w:r>
        <w:continuationSeparator/>
      </w:r>
    </w:p>
  </w:endnote>
  <w:endnote w:type="continuationNotice" w:id="1">
    <w:p w14:paraId="3254FE4A" w14:textId="77777777" w:rsidR="00F8745A" w:rsidRDefault="00F8745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Artifex CF Extra Light">
    <w:altName w:val="Courier New"/>
    <w:panose1 w:val="00000000000000000000"/>
    <w:charset w:val="00"/>
    <w:family w:val="modern"/>
    <w:notTrueType/>
    <w:pitch w:val="variable"/>
    <w:sig w:usb0="00000001"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ø">
    <w:altName w:val="Calibri"/>
    <w:charset w:val="00"/>
    <w:family w:val="auto"/>
    <w:pitch w:val="variable"/>
    <w:sig w:usb0="00000007" w:usb1="00000000" w:usb2="00000000" w:usb3="00000000" w:csb0="00000093" w:csb1="00000000"/>
  </w:font>
  <w:font w:name="Arial MT">
    <w:altName w:val="Arial"/>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8864644"/>
      <w:docPartObj>
        <w:docPartGallery w:val="Page Numbers (Bottom of Page)"/>
        <w:docPartUnique/>
      </w:docPartObj>
    </w:sdtPr>
    <w:sdtEndPr>
      <w:rPr>
        <w:noProof/>
      </w:rPr>
    </w:sdtEndPr>
    <w:sdtContent>
      <w:p w14:paraId="1A9E6193" w14:textId="53F74689" w:rsidR="00425CF6" w:rsidRDefault="00425CF6">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882525B" w14:textId="77777777" w:rsidR="00425CF6" w:rsidRDefault="00425CF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47965239"/>
      <w:docPartObj>
        <w:docPartGallery w:val="Page Numbers (Bottom of Page)"/>
        <w:docPartUnique/>
      </w:docPartObj>
    </w:sdtPr>
    <w:sdtEndPr>
      <w:rPr>
        <w:noProof/>
      </w:rPr>
    </w:sdtEndPr>
    <w:sdtContent>
      <w:p w14:paraId="76783BEA" w14:textId="3B2E45C0" w:rsidR="0021106F" w:rsidRDefault="007C6071" w:rsidP="0021106F">
        <w:pPr>
          <w:pStyle w:val="Footer"/>
          <w:jc w:val="center"/>
        </w:pPr>
        <w:r>
          <w:rPr>
            <w:noProof/>
          </w:rPr>
          <w:drawing>
            <wp:anchor distT="0" distB="0" distL="114300" distR="114300" simplePos="0" relativeHeight="251658240" behindDoc="0" locked="0" layoutInCell="1" allowOverlap="1" wp14:anchorId="54F82055" wp14:editId="11582ED3">
              <wp:simplePos x="0" y="0"/>
              <wp:positionH relativeFrom="margin">
                <wp:align>center</wp:align>
              </wp:positionH>
              <wp:positionV relativeFrom="paragraph">
                <wp:posOffset>-100899</wp:posOffset>
              </wp:positionV>
              <wp:extent cx="2995930" cy="408305"/>
              <wp:effectExtent l="0" t="0" r="0" b="0"/>
              <wp:wrapSquare wrapText="bothSides"/>
              <wp:docPr id="1050879289" name="Picture 1050879289"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computer&#10;&#10;Description automatically generated with medium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95930" cy="408305"/>
                      </a:xfrm>
                      <a:prstGeom prst="rect">
                        <a:avLst/>
                      </a:prstGeom>
                      <a:noFill/>
                      <a:ln>
                        <a:noFill/>
                      </a:ln>
                    </pic:spPr>
                  </pic:pic>
                </a:graphicData>
              </a:graphic>
            </wp:anchor>
          </w:drawing>
        </w:r>
      </w:p>
      <w:p w14:paraId="139C570F" w14:textId="3C5D1A63" w:rsidR="007C6071" w:rsidRDefault="007C6071" w:rsidP="0021106F">
        <w:pPr>
          <w:pStyle w:val="Footer"/>
          <w:jc w:val="center"/>
          <w:rPr>
            <w:color w:val="7F7F7F" w:themeColor="text1" w:themeTint="80"/>
          </w:rPr>
        </w:pPr>
      </w:p>
      <w:p w14:paraId="2B095E5E" w14:textId="53193BFC" w:rsidR="006E3F08" w:rsidRDefault="006E3F08" w:rsidP="00FB7EE3">
        <w:pPr>
          <w:pStyle w:val="Footer"/>
          <w:jc w:val="center"/>
        </w:pPr>
        <w:r w:rsidRPr="00F74112">
          <w:rPr>
            <w:color w:val="7F7F7F" w:themeColor="text1" w:themeTint="80"/>
          </w:rPr>
          <w:fldChar w:fldCharType="begin"/>
        </w:r>
        <w:r w:rsidRPr="00F74112">
          <w:rPr>
            <w:color w:val="7F7F7F" w:themeColor="text1" w:themeTint="80"/>
          </w:rPr>
          <w:instrText xml:space="preserve"> PAGE   \* MERGEFORMAT </w:instrText>
        </w:r>
        <w:r w:rsidRPr="00F74112">
          <w:rPr>
            <w:color w:val="7F7F7F" w:themeColor="text1" w:themeTint="80"/>
          </w:rPr>
          <w:fldChar w:fldCharType="separate"/>
        </w:r>
        <w:r w:rsidR="007A267B">
          <w:rPr>
            <w:noProof/>
            <w:color w:val="7F7F7F" w:themeColor="text1" w:themeTint="80"/>
          </w:rPr>
          <w:t>8</w:t>
        </w:r>
        <w:r w:rsidRPr="00F74112">
          <w:rPr>
            <w:noProof/>
            <w:color w:val="7F7F7F" w:themeColor="text1" w:themeTint="80"/>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5597532"/>
      <w:docPartObj>
        <w:docPartGallery w:val="Page Numbers (Bottom of Page)"/>
        <w:docPartUnique/>
      </w:docPartObj>
    </w:sdtPr>
    <w:sdtEndPr>
      <w:rPr>
        <w:noProof/>
      </w:rPr>
    </w:sdtEndPr>
    <w:sdtContent>
      <w:p w14:paraId="68B6DB36" w14:textId="77777777" w:rsidR="00123682" w:rsidRDefault="00123682" w:rsidP="0021106F">
        <w:pPr>
          <w:pStyle w:val="Footer"/>
          <w:jc w:val="center"/>
        </w:pPr>
        <w:r>
          <w:rPr>
            <w:noProof/>
          </w:rPr>
          <w:drawing>
            <wp:anchor distT="0" distB="0" distL="114300" distR="114300" simplePos="0" relativeHeight="251660289" behindDoc="0" locked="0" layoutInCell="1" allowOverlap="1" wp14:anchorId="6A2D74C1" wp14:editId="2AD7FD3E">
              <wp:simplePos x="0" y="0"/>
              <wp:positionH relativeFrom="margin">
                <wp:align>center</wp:align>
              </wp:positionH>
              <wp:positionV relativeFrom="paragraph">
                <wp:posOffset>-111060</wp:posOffset>
              </wp:positionV>
              <wp:extent cx="2995930" cy="408305"/>
              <wp:effectExtent l="0" t="0" r="0" b="0"/>
              <wp:wrapSquare wrapText="bothSides"/>
              <wp:docPr id="521345073" name="Picture 52134507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computer&#10;&#10;Description automatically generated with medium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95930" cy="408305"/>
                      </a:xfrm>
                      <a:prstGeom prst="rect">
                        <a:avLst/>
                      </a:prstGeom>
                      <a:noFill/>
                      <a:ln>
                        <a:noFill/>
                      </a:ln>
                    </pic:spPr>
                  </pic:pic>
                </a:graphicData>
              </a:graphic>
            </wp:anchor>
          </w:drawing>
        </w:r>
      </w:p>
      <w:p w14:paraId="4A048AB9" w14:textId="77777777" w:rsidR="00123682" w:rsidRDefault="00123682" w:rsidP="0021106F">
        <w:pPr>
          <w:pStyle w:val="Footer"/>
          <w:jc w:val="center"/>
          <w:rPr>
            <w:color w:val="7F7F7F" w:themeColor="text1" w:themeTint="80"/>
          </w:rPr>
        </w:pPr>
      </w:p>
      <w:p w14:paraId="2B4AA876" w14:textId="77777777" w:rsidR="00123682" w:rsidRDefault="00123682" w:rsidP="00FB7EE3">
        <w:pPr>
          <w:pStyle w:val="Footer"/>
          <w:jc w:val="center"/>
        </w:pPr>
        <w:r w:rsidRPr="00F74112">
          <w:rPr>
            <w:color w:val="7F7F7F" w:themeColor="text1" w:themeTint="80"/>
          </w:rPr>
          <w:fldChar w:fldCharType="begin"/>
        </w:r>
        <w:r w:rsidRPr="00F74112">
          <w:rPr>
            <w:color w:val="7F7F7F" w:themeColor="text1" w:themeTint="80"/>
          </w:rPr>
          <w:instrText xml:space="preserve"> PAGE   \* MERGEFORMAT </w:instrText>
        </w:r>
        <w:r w:rsidRPr="00F74112">
          <w:rPr>
            <w:color w:val="7F7F7F" w:themeColor="text1" w:themeTint="80"/>
          </w:rPr>
          <w:fldChar w:fldCharType="separate"/>
        </w:r>
        <w:r>
          <w:rPr>
            <w:noProof/>
            <w:color w:val="7F7F7F" w:themeColor="text1" w:themeTint="80"/>
          </w:rPr>
          <w:t>8</w:t>
        </w:r>
        <w:r w:rsidRPr="00F74112">
          <w:rPr>
            <w:noProof/>
            <w:color w:val="7F7F7F" w:themeColor="text1" w:themeTint="80"/>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63749520"/>
      <w:docPartObj>
        <w:docPartGallery w:val="Page Numbers (Bottom of Page)"/>
        <w:docPartUnique/>
      </w:docPartObj>
    </w:sdtPr>
    <w:sdtEndPr>
      <w:rPr>
        <w:noProof/>
        <w:color w:val="7F7F7F"/>
      </w:rPr>
    </w:sdtEndPr>
    <w:sdtContent>
      <w:p w14:paraId="3CEF6BD0" w14:textId="5C689E0D" w:rsidR="002E1DDB" w:rsidRDefault="002E1DDB" w:rsidP="002E1DDB">
        <w:pPr>
          <w:pStyle w:val="Footer"/>
          <w:jc w:val="center"/>
        </w:pPr>
      </w:p>
      <w:p w14:paraId="43A22E92" w14:textId="77777777" w:rsidR="001243CC" w:rsidRDefault="001243CC">
        <w:pPr>
          <w:pStyle w:val="Footer"/>
          <w:jc w:val="center"/>
        </w:pPr>
        <w:r w:rsidRPr="008336CE">
          <w:rPr>
            <w:noProof/>
            <w:color w:val="808080"/>
            <w:lang w:val="es-DO" w:eastAsia="es-DO"/>
          </w:rPr>
          <w:drawing>
            <wp:anchor distT="0" distB="0" distL="114300" distR="114300" simplePos="0" relativeHeight="251658241" behindDoc="1" locked="0" layoutInCell="1" allowOverlap="1" wp14:anchorId="3A5BD3CB" wp14:editId="6FD8E10B">
              <wp:simplePos x="0" y="0"/>
              <wp:positionH relativeFrom="margin">
                <wp:align>center</wp:align>
              </wp:positionH>
              <wp:positionV relativeFrom="paragraph">
                <wp:posOffset>4555</wp:posOffset>
              </wp:positionV>
              <wp:extent cx="2413000" cy="292100"/>
              <wp:effectExtent l="0" t="0" r="6350" b="0"/>
              <wp:wrapSquare wrapText="bothSides"/>
              <wp:docPr id="1668376466" name="Imagen 39" descr="Imagen que contiene medidor, reloj&#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descr="Imagen que contiene medidor, reloj&#10;&#10;Descripción generada automáticamente"/>
                      <pic:cNvPicPr>
                        <a:picLocks noChangeAspect="1" noChangeArrowheads="1"/>
                      </pic:cNvPicPr>
                    </pic:nvPicPr>
                    <pic:blipFill>
                      <a:blip r:embed="rId1"/>
                      <a:srcRect/>
                      <a:stretch>
                        <a:fillRect/>
                      </a:stretch>
                    </pic:blipFill>
                    <pic:spPr bwMode="auto">
                      <a:xfrm>
                        <a:off x="0" y="0"/>
                        <a:ext cx="2413000" cy="292100"/>
                      </a:xfrm>
                      <a:prstGeom prst="rect">
                        <a:avLst/>
                      </a:prstGeom>
                      <a:noFill/>
                      <a:ln w="9525">
                        <a:noFill/>
                        <a:miter lim="800000"/>
                        <a:headEnd/>
                        <a:tailEnd/>
                      </a:ln>
                    </pic:spPr>
                  </pic:pic>
                </a:graphicData>
              </a:graphic>
            </wp:anchor>
          </w:drawing>
        </w:r>
      </w:p>
      <w:p w14:paraId="3FE18183" w14:textId="77777777" w:rsidR="001243CC" w:rsidRPr="006F627F" w:rsidRDefault="001243CC">
        <w:pPr>
          <w:pStyle w:val="Footer"/>
          <w:jc w:val="center"/>
          <w:rPr>
            <w:color w:val="7F7F7F"/>
          </w:rPr>
        </w:pPr>
      </w:p>
      <w:p w14:paraId="49325CB3" w14:textId="77777777" w:rsidR="001243CC" w:rsidRPr="006F627F" w:rsidRDefault="001243CC">
        <w:pPr>
          <w:pStyle w:val="Footer"/>
          <w:jc w:val="center"/>
          <w:rPr>
            <w:color w:val="7F7F7F"/>
          </w:rPr>
        </w:pPr>
      </w:p>
      <w:p w14:paraId="2C1B1E43" w14:textId="77777777" w:rsidR="001243CC" w:rsidRPr="006F627F" w:rsidRDefault="001243CC">
        <w:pPr>
          <w:pStyle w:val="Footer"/>
          <w:jc w:val="center"/>
          <w:rPr>
            <w:color w:val="7F7F7F"/>
          </w:rPr>
        </w:pPr>
        <w:r w:rsidRPr="006F627F">
          <w:rPr>
            <w:color w:val="7F7F7F"/>
          </w:rPr>
          <w:fldChar w:fldCharType="begin"/>
        </w:r>
        <w:r w:rsidRPr="006F627F">
          <w:rPr>
            <w:color w:val="7F7F7F"/>
          </w:rPr>
          <w:instrText xml:space="preserve"> PAGE   \* MERGEFORMAT </w:instrText>
        </w:r>
        <w:r w:rsidRPr="006F627F">
          <w:rPr>
            <w:color w:val="7F7F7F"/>
          </w:rPr>
          <w:fldChar w:fldCharType="separate"/>
        </w:r>
        <w:r w:rsidRPr="006F627F">
          <w:rPr>
            <w:noProof/>
            <w:color w:val="7F7F7F"/>
          </w:rPr>
          <w:t>12</w:t>
        </w:r>
        <w:r w:rsidRPr="006F627F">
          <w:rPr>
            <w:noProof/>
            <w:color w:val="7F7F7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7DA035" w14:textId="77777777" w:rsidR="00F8745A" w:rsidRDefault="00F8745A" w:rsidP="00E84651">
      <w:pPr>
        <w:spacing w:after="0" w:line="240" w:lineRule="auto"/>
      </w:pPr>
      <w:r>
        <w:separator/>
      </w:r>
    </w:p>
  </w:footnote>
  <w:footnote w:type="continuationSeparator" w:id="0">
    <w:p w14:paraId="7CA18E7D" w14:textId="77777777" w:rsidR="00F8745A" w:rsidRDefault="00F8745A" w:rsidP="00E84651">
      <w:pPr>
        <w:spacing w:after="0" w:line="240" w:lineRule="auto"/>
      </w:pPr>
      <w:r>
        <w:continuationSeparator/>
      </w:r>
    </w:p>
  </w:footnote>
  <w:footnote w:type="continuationNotice" w:id="1">
    <w:p w14:paraId="3F2CD992" w14:textId="77777777" w:rsidR="00F8745A" w:rsidRDefault="00F8745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64575" w14:textId="77777777" w:rsidR="00B56CA4" w:rsidRPr="00B47C98" w:rsidRDefault="00B56CA4" w:rsidP="00B47C9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A5248"/>
    <w:multiLevelType w:val="hybridMultilevel"/>
    <w:tmpl w:val="C2884C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0957239"/>
    <w:multiLevelType w:val="multilevel"/>
    <w:tmpl w:val="A20C4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0A59D1"/>
    <w:multiLevelType w:val="hybridMultilevel"/>
    <w:tmpl w:val="D062F3E2"/>
    <w:lvl w:ilvl="0" w:tplc="C95A3AF2">
      <w:start w:val="1"/>
      <w:numFmt w:val="decimal"/>
      <w:lvlText w:val="%1."/>
      <w:lvlJc w:val="left"/>
      <w:pPr>
        <w:ind w:left="720" w:hanging="360"/>
      </w:pPr>
      <w:rPr>
        <w:rFonts w:ascii="Times New Roman" w:eastAsia="Calibri" w:hAnsi="Times New Roman" w:cs="Times New Roman" w:hint="default"/>
        <w:b w:val="0"/>
        <w:color w:val="76717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DF2B62"/>
    <w:multiLevelType w:val="hybridMultilevel"/>
    <w:tmpl w:val="21562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555DDC"/>
    <w:multiLevelType w:val="hybridMultilevel"/>
    <w:tmpl w:val="36663F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BF48F8"/>
    <w:multiLevelType w:val="hybridMultilevel"/>
    <w:tmpl w:val="AF666FE8"/>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7294D8E"/>
    <w:multiLevelType w:val="hybridMultilevel"/>
    <w:tmpl w:val="12CC6EA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72E1DC6"/>
    <w:multiLevelType w:val="hybridMultilevel"/>
    <w:tmpl w:val="A6D0116C"/>
    <w:lvl w:ilvl="0" w:tplc="FFFFFFFF">
      <w:start w:val="1"/>
      <w:numFmt w:val="bullet"/>
      <w:lvlText w:val=""/>
      <w:lvlJc w:val="left"/>
      <w:pPr>
        <w:ind w:left="720" w:hanging="360"/>
      </w:pPr>
      <w:rPr>
        <w:rFonts w:ascii="Wingdings" w:hAnsi="Wingdings"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8BD5A59"/>
    <w:multiLevelType w:val="hybridMultilevel"/>
    <w:tmpl w:val="9F1A4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35552F"/>
    <w:multiLevelType w:val="hybridMultilevel"/>
    <w:tmpl w:val="12CC6EAC"/>
    <w:lvl w:ilvl="0" w:tplc="0409000F">
      <w:start w:val="1"/>
      <w:numFmt w:val="decimal"/>
      <w:lvlText w:val="%1."/>
      <w:lvlJc w:val="left"/>
      <w:pPr>
        <w:ind w:left="81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CF25E6E"/>
    <w:multiLevelType w:val="multilevel"/>
    <w:tmpl w:val="C4B01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E022004"/>
    <w:multiLevelType w:val="hybridMultilevel"/>
    <w:tmpl w:val="52B41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481C66"/>
    <w:multiLevelType w:val="hybridMultilevel"/>
    <w:tmpl w:val="51B629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7066E3"/>
    <w:multiLevelType w:val="hybridMultilevel"/>
    <w:tmpl w:val="9B3E44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914FE6"/>
    <w:multiLevelType w:val="hybridMultilevel"/>
    <w:tmpl w:val="60E8F78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19E173F"/>
    <w:multiLevelType w:val="hybridMultilevel"/>
    <w:tmpl w:val="00587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D07F68"/>
    <w:multiLevelType w:val="hybridMultilevel"/>
    <w:tmpl w:val="F95007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3F31C1"/>
    <w:multiLevelType w:val="hybridMultilevel"/>
    <w:tmpl w:val="DE224FB4"/>
    <w:lvl w:ilvl="0" w:tplc="04090001">
      <w:start w:val="1"/>
      <w:numFmt w:val="bullet"/>
      <w:lvlText w:val=""/>
      <w:lvlJc w:val="left"/>
      <w:pPr>
        <w:ind w:left="72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B623CCA"/>
    <w:multiLevelType w:val="hybridMultilevel"/>
    <w:tmpl w:val="12CC6EAC"/>
    <w:lvl w:ilvl="0" w:tplc="FFFFFFFF">
      <w:start w:val="1"/>
      <w:numFmt w:val="decimal"/>
      <w:lvlText w:val="%1."/>
      <w:lvlJc w:val="left"/>
      <w:pPr>
        <w:ind w:left="81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D865B30"/>
    <w:multiLevelType w:val="hybridMultilevel"/>
    <w:tmpl w:val="39A02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126735C"/>
    <w:multiLevelType w:val="hybridMultilevel"/>
    <w:tmpl w:val="12CC6EAC"/>
    <w:lvl w:ilvl="0" w:tplc="FFFFFFFF">
      <w:start w:val="1"/>
      <w:numFmt w:val="decimal"/>
      <w:lvlText w:val="%1."/>
      <w:lvlJc w:val="left"/>
      <w:pPr>
        <w:ind w:left="81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13E0A22"/>
    <w:multiLevelType w:val="hybridMultilevel"/>
    <w:tmpl w:val="5BC292FE"/>
    <w:lvl w:ilvl="0" w:tplc="72D4AF8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25E27EDB"/>
    <w:multiLevelType w:val="hybridMultilevel"/>
    <w:tmpl w:val="30129736"/>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2BA05DEB"/>
    <w:multiLevelType w:val="hybridMultilevel"/>
    <w:tmpl w:val="7B9EDDB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2C47545B"/>
    <w:multiLevelType w:val="hybridMultilevel"/>
    <w:tmpl w:val="BF84A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EB74FA8"/>
    <w:multiLevelType w:val="hybridMultilevel"/>
    <w:tmpl w:val="3D0C4E94"/>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F4B0084"/>
    <w:multiLevelType w:val="hybridMultilevel"/>
    <w:tmpl w:val="35940156"/>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2860489"/>
    <w:multiLevelType w:val="hybridMultilevel"/>
    <w:tmpl w:val="3DC89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4CC4155"/>
    <w:multiLevelType w:val="hybridMultilevel"/>
    <w:tmpl w:val="3E1E6A6C"/>
    <w:lvl w:ilvl="0" w:tplc="1C0A0001">
      <w:start w:val="1"/>
      <w:numFmt w:val="bullet"/>
      <w:lvlText w:val=""/>
      <w:lvlJc w:val="left"/>
      <w:pPr>
        <w:ind w:left="720" w:hanging="360"/>
      </w:pPr>
      <w:rPr>
        <w:rFonts w:ascii="Symbol" w:hAnsi="Symbol" w:hint="default"/>
      </w:rPr>
    </w:lvl>
    <w:lvl w:ilvl="1" w:tplc="1C0A0003" w:tentative="1">
      <w:start w:val="1"/>
      <w:numFmt w:val="bullet"/>
      <w:lvlText w:val="o"/>
      <w:lvlJc w:val="left"/>
      <w:pPr>
        <w:ind w:left="1440" w:hanging="360"/>
      </w:pPr>
      <w:rPr>
        <w:rFonts w:ascii="Courier New" w:hAnsi="Courier New" w:cs="Courier New" w:hint="default"/>
      </w:rPr>
    </w:lvl>
    <w:lvl w:ilvl="2" w:tplc="1C0A0005" w:tentative="1">
      <w:start w:val="1"/>
      <w:numFmt w:val="bullet"/>
      <w:lvlText w:val=""/>
      <w:lvlJc w:val="left"/>
      <w:pPr>
        <w:ind w:left="2160" w:hanging="360"/>
      </w:pPr>
      <w:rPr>
        <w:rFonts w:ascii="Wingdings" w:hAnsi="Wingdings" w:hint="default"/>
      </w:rPr>
    </w:lvl>
    <w:lvl w:ilvl="3" w:tplc="1C0A0001" w:tentative="1">
      <w:start w:val="1"/>
      <w:numFmt w:val="bullet"/>
      <w:lvlText w:val=""/>
      <w:lvlJc w:val="left"/>
      <w:pPr>
        <w:ind w:left="2880" w:hanging="360"/>
      </w:pPr>
      <w:rPr>
        <w:rFonts w:ascii="Symbol" w:hAnsi="Symbol" w:hint="default"/>
      </w:rPr>
    </w:lvl>
    <w:lvl w:ilvl="4" w:tplc="1C0A0003" w:tentative="1">
      <w:start w:val="1"/>
      <w:numFmt w:val="bullet"/>
      <w:lvlText w:val="o"/>
      <w:lvlJc w:val="left"/>
      <w:pPr>
        <w:ind w:left="3600" w:hanging="360"/>
      </w:pPr>
      <w:rPr>
        <w:rFonts w:ascii="Courier New" w:hAnsi="Courier New" w:cs="Courier New" w:hint="default"/>
      </w:rPr>
    </w:lvl>
    <w:lvl w:ilvl="5" w:tplc="1C0A0005" w:tentative="1">
      <w:start w:val="1"/>
      <w:numFmt w:val="bullet"/>
      <w:lvlText w:val=""/>
      <w:lvlJc w:val="left"/>
      <w:pPr>
        <w:ind w:left="4320" w:hanging="360"/>
      </w:pPr>
      <w:rPr>
        <w:rFonts w:ascii="Wingdings" w:hAnsi="Wingdings" w:hint="default"/>
      </w:rPr>
    </w:lvl>
    <w:lvl w:ilvl="6" w:tplc="1C0A0001" w:tentative="1">
      <w:start w:val="1"/>
      <w:numFmt w:val="bullet"/>
      <w:lvlText w:val=""/>
      <w:lvlJc w:val="left"/>
      <w:pPr>
        <w:ind w:left="5040" w:hanging="360"/>
      </w:pPr>
      <w:rPr>
        <w:rFonts w:ascii="Symbol" w:hAnsi="Symbol" w:hint="default"/>
      </w:rPr>
    </w:lvl>
    <w:lvl w:ilvl="7" w:tplc="1C0A0003" w:tentative="1">
      <w:start w:val="1"/>
      <w:numFmt w:val="bullet"/>
      <w:lvlText w:val="o"/>
      <w:lvlJc w:val="left"/>
      <w:pPr>
        <w:ind w:left="5760" w:hanging="360"/>
      </w:pPr>
      <w:rPr>
        <w:rFonts w:ascii="Courier New" w:hAnsi="Courier New" w:cs="Courier New" w:hint="default"/>
      </w:rPr>
    </w:lvl>
    <w:lvl w:ilvl="8" w:tplc="1C0A0005" w:tentative="1">
      <w:start w:val="1"/>
      <w:numFmt w:val="bullet"/>
      <w:lvlText w:val=""/>
      <w:lvlJc w:val="left"/>
      <w:pPr>
        <w:ind w:left="6480" w:hanging="360"/>
      </w:pPr>
      <w:rPr>
        <w:rFonts w:ascii="Wingdings" w:hAnsi="Wingdings" w:hint="default"/>
      </w:rPr>
    </w:lvl>
  </w:abstractNum>
  <w:abstractNum w:abstractNumId="29" w15:restartNumberingAfterBreak="0">
    <w:nsid w:val="355C3E4B"/>
    <w:multiLevelType w:val="hybridMultilevel"/>
    <w:tmpl w:val="21EA8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7D814B6"/>
    <w:multiLevelType w:val="hybridMultilevel"/>
    <w:tmpl w:val="96A609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8C5B12"/>
    <w:multiLevelType w:val="hybridMultilevel"/>
    <w:tmpl w:val="99FA8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9E7882"/>
    <w:multiLevelType w:val="hybridMultilevel"/>
    <w:tmpl w:val="C2861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B66687C"/>
    <w:multiLevelType w:val="hybridMultilevel"/>
    <w:tmpl w:val="5542595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3DD00436"/>
    <w:multiLevelType w:val="hybridMultilevel"/>
    <w:tmpl w:val="7E60A8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10777EB"/>
    <w:multiLevelType w:val="hybridMultilevel"/>
    <w:tmpl w:val="A9744DF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6" w15:restartNumberingAfterBreak="0">
    <w:nsid w:val="42642A5D"/>
    <w:multiLevelType w:val="hybridMultilevel"/>
    <w:tmpl w:val="A222817E"/>
    <w:lvl w:ilvl="0" w:tplc="FFFFFFFF">
      <w:start w:val="1"/>
      <w:numFmt w:val="bullet"/>
      <w:lvlText w:val=""/>
      <w:lvlJc w:val="left"/>
      <w:pPr>
        <w:ind w:left="720" w:hanging="360"/>
      </w:pPr>
      <w:rPr>
        <w:rFonts w:ascii="Wingdings" w:hAnsi="Wingdings"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43E454BA"/>
    <w:multiLevelType w:val="hybridMultilevel"/>
    <w:tmpl w:val="0AD02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180DCA"/>
    <w:multiLevelType w:val="hybridMultilevel"/>
    <w:tmpl w:val="FB2C9098"/>
    <w:lvl w:ilvl="0" w:tplc="1C0A0001">
      <w:start w:val="1"/>
      <w:numFmt w:val="bullet"/>
      <w:lvlText w:val=""/>
      <w:lvlJc w:val="left"/>
      <w:pPr>
        <w:ind w:left="720" w:hanging="360"/>
      </w:pPr>
      <w:rPr>
        <w:rFonts w:ascii="Symbol" w:hAnsi="Symbol" w:hint="default"/>
      </w:rPr>
    </w:lvl>
    <w:lvl w:ilvl="1" w:tplc="1C0A0003" w:tentative="1">
      <w:start w:val="1"/>
      <w:numFmt w:val="bullet"/>
      <w:lvlText w:val="o"/>
      <w:lvlJc w:val="left"/>
      <w:pPr>
        <w:ind w:left="1440" w:hanging="360"/>
      </w:pPr>
      <w:rPr>
        <w:rFonts w:ascii="Courier New" w:hAnsi="Courier New" w:cs="Courier New" w:hint="default"/>
      </w:rPr>
    </w:lvl>
    <w:lvl w:ilvl="2" w:tplc="1C0A0005" w:tentative="1">
      <w:start w:val="1"/>
      <w:numFmt w:val="bullet"/>
      <w:lvlText w:val=""/>
      <w:lvlJc w:val="left"/>
      <w:pPr>
        <w:ind w:left="2160" w:hanging="360"/>
      </w:pPr>
      <w:rPr>
        <w:rFonts w:ascii="Wingdings" w:hAnsi="Wingdings" w:hint="default"/>
      </w:rPr>
    </w:lvl>
    <w:lvl w:ilvl="3" w:tplc="1C0A0001" w:tentative="1">
      <w:start w:val="1"/>
      <w:numFmt w:val="bullet"/>
      <w:lvlText w:val=""/>
      <w:lvlJc w:val="left"/>
      <w:pPr>
        <w:ind w:left="2880" w:hanging="360"/>
      </w:pPr>
      <w:rPr>
        <w:rFonts w:ascii="Symbol" w:hAnsi="Symbol" w:hint="default"/>
      </w:rPr>
    </w:lvl>
    <w:lvl w:ilvl="4" w:tplc="1C0A0003" w:tentative="1">
      <w:start w:val="1"/>
      <w:numFmt w:val="bullet"/>
      <w:lvlText w:val="o"/>
      <w:lvlJc w:val="left"/>
      <w:pPr>
        <w:ind w:left="3600" w:hanging="360"/>
      </w:pPr>
      <w:rPr>
        <w:rFonts w:ascii="Courier New" w:hAnsi="Courier New" w:cs="Courier New" w:hint="default"/>
      </w:rPr>
    </w:lvl>
    <w:lvl w:ilvl="5" w:tplc="1C0A0005" w:tentative="1">
      <w:start w:val="1"/>
      <w:numFmt w:val="bullet"/>
      <w:lvlText w:val=""/>
      <w:lvlJc w:val="left"/>
      <w:pPr>
        <w:ind w:left="4320" w:hanging="360"/>
      </w:pPr>
      <w:rPr>
        <w:rFonts w:ascii="Wingdings" w:hAnsi="Wingdings" w:hint="default"/>
      </w:rPr>
    </w:lvl>
    <w:lvl w:ilvl="6" w:tplc="1C0A0001" w:tentative="1">
      <w:start w:val="1"/>
      <w:numFmt w:val="bullet"/>
      <w:lvlText w:val=""/>
      <w:lvlJc w:val="left"/>
      <w:pPr>
        <w:ind w:left="5040" w:hanging="360"/>
      </w:pPr>
      <w:rPr>
        <w:rFonts w:ascii="Symbol" w:hAnsi="Symbol" w:hint="default"/>
      </w:rPr>
    </w:lvl>
    <w:lvl w:ilvl="7" w:tplc="1C0A0003" w:tentative="1">
      <w:start w:val="1"/>
      <w:numFmt w:val="bullet"/>
      <w:lvlText w:val="o"/>
      <w:lvlJc w:val="left"/>
      <w:pPr>
        <w:ind w:left="5760" w:hanging="360"/>
      </w:pPr>
      <w:rPr>
        <w:rFonts w:ascii="Courier New" w:hAnsi="Courier New" w:cs="Courier New" w:hint="default"/>
      </w:rPr>
    </w:lvl>
    <w:lvl w:ilvl="8" w:tplc="1C0A0005" w:tentative="1">
      <w:start w:val="1"/>
      <w:numFmt w:val="bullet"/>
      <w:lvlText w:val=""/>
      <w:lvlJc w:val="left"/>
      <w:pPr>
        <w:ind w:left="6480" w:hanging="360"/>
      </w:pPr>
      <w:rPr>
        <w:rFonts w:ascii="Wingdings" w:hAnsi="Wingdings" w:hint="default"/>
      </w:rPr>
    </w:lvl>
  </w:abstractNum>
  <w:abstractNum w:abstractNumId="39" w15:restartNumberingAfterBreak="0">
    <w:nsid w:val="54DD6EAC"/>
    <w:multiLevelType w:val="hybridMultilevel"/>
    <w:tmpl w:val="B4E8959A"/>
    <w:lvl w:ilvl="0" w:tplc="6F5EF8CE">
      <w:start w:val="1"/>
      <w:numFmt w:val="decimal"/>
      <w:lvlText w:val="%1."/>
      <w:lvlJc w:val="left"/>
      <w:pPr>
        <w:ind w:left="720" w:hanging="360"/>
      </w:pPr>
      <w:rPr>
        <w:rFonts w:ascii="Century Gothic" w:eastAsia="Calibri" w:hAnsi="Century Gothic" w:hint="default"/>
        <w:b/>
        <w:sz w:val="2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6274B7B"/>
    <w:multiLevelType w:val="hybridMultilevel"/>
    <w:tmpl w:val="D2E4E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DE90BCE"/>
    <w:multiLevelType w:val="hybridMultilevel"/>
    <w:tmpl w:val="3A24FA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0031BE2"/>
    <w:multiLevelType w:val="hybridMultilevel"/>
    <w:tmpl w:val="B5DC3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1676DA2"/>
    <w:multiLevelType w:val="hybridMultilevel"/>
    <w:tmpl w:val="3EE69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5EF5C61"/>
    <w:multiLevelType w:val="hybridMultilevel"/>
    <w:tmpl w:val="3A788158"/>
    <w:lvl w:ilvl="0" w:tplc="FFFFFFFF">
      <w:start w:val="1"/>
      <w:numFmt w:val="bullet"/>
      <w:lvlText w:val=""/>
      <w:lvlJc w:val="left"/>
      <w:pPr>
        <w:ind w:left="720" w:hanging="360"/>
      </w:pPr>
      <w:rPr>
        <w:rFonts w:ascii="Wingdings" w:hAnsi="Wingdings"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6B5F636E"/>
    <w:multiLevelType w:val="hybridMultilevel"/>
    <w:tmpl w:val="8124C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F3525E2"/>
    <w:multiLevelType w:val="hybridMultilevel"/>
    <w:tmpl w:val="4EB01826"/>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6F9C14EF"/>
    <w:multiLevelType w:val="hybridMultilevel"/>
    <w:tmpl w:val="B3929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208731F"/>
    <w:multiLevelType w:val="hybridMultilevel"/>
    <w:tmpl w:val="D45C59A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727A11B6"/>
    <w:multiLevelType w:val="hybridMultilevel"/>
    <w:tmpl w:val="42BEF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4702D13"/>
    <w:multiLevelType w:val="hybridMultilevel"/>
    <w:tmpl w:val="4CF84568"/>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7766460D"/>
    <w:multiLevelType w:val="hybridMultilevel"/>
    <w:tmpl w:val="12CC6EA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7E9D1F42"/>
    <w:multiLevelType w:val="hybridMultilevel"/>
    <w:tmpl w:val="1AEAD90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561840621">
    <w:abstractNumId w:val="31"/>
  </w:num>
  <w:num w:numId="2" w16cid:durableId="359552955">
    <w:abstractNumId w:val="37"/>
  </w:num>
  <w:num w:numId="3" w16cid:durableId="901411049">
    <w:abstractNumId w:val="45"/>
  </w:num>
  <w:num w:numId="4" w16cid:durableId="66154183">
    <w:abstractNumId w:val="9"/>
  </w:num>
  <w:num w:numId="5" w16cid:durableId="280649672">
    <w:abstractNumId w:val="5"/>
  </w:num>
  <w:num w:numId="6" w16cid:durableId="1305503813">
    <w:abstractNumId w:val="41"/>
  </w:num>
  <w:num w:numId="7" w16cid:durableId="1928342117">
    <w:abstractNumId w:val="13"/>
  </w:num>
  <w:num w:numId="8" w16cid:durableId="350691260">
    <w:abstractNumId w:val="46"/>
  </w:num>
  <w:num w:numId="9" w16cid:durableId="1982227115">
    <w:abstractNumId w:val="6"/>
  </w:num>
  <w:num w:numId="10" w16cid:durableId="1708143482">
    <w:abstractNumId w:val="0"/>
  </w:num>
  <w:num w:numId="11" w16cid:durableId="802889874">
    <w:abstractNumId w:val="21"/>
  </w:num>
  <w:num w:numId="12" w16cid:durableId="874004306">
    <w:abstractNumId w:val="51"/>
  </w:num>
  <w:num w:numId="13" w16cid:durableId="1428305266">
    <w:abstractNumId w:val="2"/>
  </w:num>
  <w:num w:numId="14" w16cid:durableId="560210723">
    <w:abstractNumId w:val="30"/>
  </w:num>
  <w:num w:numId="15" w16cid:durableId="710305660">
    <w:abstractNumId w:val="32"/>
  </w:num>
  <w:num w:numId="16" w16cid:durableId="126122662">
    <w:abstractNumId w:val="4"/>
  </w:num>
  <w:num w:numId="17" w16cid:durableId="1911428861">
    <w:abstractNumId w:val="15"/>
  </w:num>
  <w:num w:numId="18" w16cid:durableId="214893940">
    <w:abstractNumId w:val="40"/>
  </w:num>
  <w:num w:numId="19" w16cid:durableId="1963031413">
    <w:abstractNumId w:val="16"/>
  </w:num>
  <w:num w:numId="20" w16cid:durableId="1890529884">
    <w:abstractNumId w:val="50"/>
  </w:num>
  <w:num w:numId="21" w16cid:durableId="31930248">
    <w:abstractNumId w:val="19"/>
  </w:num>
  <w:num w:numId="22" w16cid:durableId="331686542">
    <w:abstractNumId w:val="43"/>
  </w:num>
  <w:num w:numId="23" w16cid:durableId="486481127">
    <w:abstractNumId w:val="47"/>
  </w:num>
  <w:num w:numId="24" w16cid:durableId="353770564">
    <w:abstractNumId w:val="8"/>
  </w:num>
  <w:num w:numId="25" w16cid:durableId="318198046">
    <w:abstractNumId w:val="29"/>
  </w:num>
  <w:num w:numId="26" w16cid:durableId="1276450100">
    <w:abstractNumId w:val="11"/>
  </w:num>
  <w:num w:numId="27" w16cid:durableId="1542402965">
    <w:abstractNumId w:val="22"/>
  </w:num>
  <w:num w:numId="28" w16cid:durableId="560795506">
    <w:abstractNumId w:val="33"/>
  </w:num>
  <w:num w:numId="29" w16cid:durableId="1672560067">
    <w:abstractNumId w:val="26"/>
  </w:num>
  <w:num w:numId="30" w16cid:durableId="671758740">
    <w:abstractNumId w:val="25"/>
  </w:num>
  <w:num w:numId="31" w16cid:durableId="920456078">
    <w:abstractNumId w:val="48"/>
  </w:num>
  <w:num w:numId="32" w16cid:durableId="1187792958">
    <w:abstractNumId w:val="23"/>
  </w:num>
  <w:num w:numId="33" w16cid:durableId="1669476939">
    <w:abstractNumId w:val="14"/>
  </w:num>
  <w:num w:numId="34" w16cid:durableId="1040861416">
    <w:abstractNumId w:val="44"/>
  </w:num>
  <w:num w:numId="35" w16cid:durableId="1679695081">
    <w:abstractNumId w:val="36"/>
  </w:num>
  <w:num w:numId="36" w16cid:durableId="1596086379">
    <w:abstractNumId w:val="7"/>
  </w:num>
  <w:num w:numId="37" w16cid:durableId="1950507053">
    <w:abstractNumId w:val="1"/>
  </w:num>
  <w:num w:numId="38" w16cid:durableId="310912073">
    <w:abstractNumId w:val="38"/>
  </w:num>
  <w:num w:numId="39" w16cid:durableId="1506364531">
    <w:abstractNumId w:val="10"/>
  </w:num>
  <w:num w:numId="40" w16cid:durableId="1969361796">
    <w:abstractNumId w:val="49"/>
  </w:num>
  <w:num w:numId="41" w16cid:durableId="2102528331">
    <w:abstractNumId w:val="24"/>
  </w:num>
  <w:num w:numId="42" w16cid:durableId="736705185">
    <w:abstractNumId w:val="27"/>
  </w:num>
  <w:num w:numId="43" w16cid:durableId="1678574061">
    <w:abstractNumId w:val="17"/>
  </w:num>
  <w:num w:numId="44" w16cid:durableId="2016223592">
    <w:abstractNumId w:val="34"/>
  </w:num>
  <w:num w:numId="45" w16cid:durableId="946808850">
    <w:abstractNumId w:val="35"/>
  </w:num>
  <w:num w:numId="46" w16cid:durableId="601231136">
    <w:abstractNumId w:val="3"/>
  </w:num>
  <w:num w:numId="47" w16cid:durableId="1492797264">
    <w:abstractNumId w:val="12"/>
  </w:num>
  <w:num w:numId="48" w16cid:durableId="664864753">
    <w:abstractNumId w:val="28"/>
  </w:num>
  <w:num w:numId="49" w16cid:durableId="1350793200">
    <w:abstractNumId w:val="52"/>
  </w:num>
  <w:num w:numId="50" w16cid:durableId="977882262">
    <w:abstractNumId w:val="42"/>
  </w:num>
  <w:num w:numId="51" w16cid:durableId="213347996">
    <w:abstractNumId w:val="39"/>
  </w:num>
  <w:num w:numId="52" w16cid:durableId="1641420919">
    <w:abstractNumId w:val="20"/>
  </w:num>
  <w:num w:numId="53" w16cid:durableId="1418596612">
    <w:abstractNumId w:val="18"/>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7F4E"/>
    <w:rsid w:val="000010F7"/>
    <w:rsid w:val="000025D4"/>
    <w:rsid w:val="00003B61"/>
    <w:rsid w:val="00005258"/>
    <w:rsid w:val="00007976"/>
    <w:rsid w:val="00012ED7"/>
    <w:rsid w:val="00013E91"/>
    <w:rsid w:val="000141D7"/>
    <w:rsid w:val="00031B71"/>
    <w:rsid w:val="00031C89"/>
    <w:rsid w:val="00032423"/>
    <w:rsid w:val="00035F71"/>
    <w:rsid w:val="000400ED"/>
    <w:rsid w:val="00041B32"/>
    <w:rsid w:val="00044655"/>
    <w:rsid w:val="00044BDF"/>
    <w:rsid w:val="00045865"/>
    <w:rsid w:val="00046544"/>
    <w:rsid w:val="00046663"/>
    <w:rsid w:val="000518E8"/>
    <w:rsid w:val="000523C0"/>
    <w:rsid w:val="00053E08"/>
    <w:rsid w:val="00065DD9"/>
    <w:rsid w:val="000716D2"/>
    <w:rsid w:val="0007427A"/>
    <w:rsid w:val="000743EE"/>
    <w:rsid w:val="0007713D"/>
    <w:rsid w:val="00077BB6"/>
    <w:rsid w:val="00081641"/>
    <w:rsid w:val="00087071"/>
    <w:rsid w:val="00087403"/>
    <w:rsid w:val="00090B56"/>
    <w:rsid w:val="00094160"/>
    <w:rsid w:val="000946F8"/>
    <w:rsid w:val="00094D78"/>
    <w:rsid w:val="0009529E"/>
    <w:rsid w:val="000960E2"/>
    <w:rsid w:val="00096A6C"/>
    <w:rsid w:val="00097B97"/>
    <w:rsid w:val="000A0A5E"/>
    <w:rsid w:val="000A65D8"/>
    <w:rsid w:val="000B3C03"/>
    <w:rsid w:val="000B48D1"/>
    <w:rsid w:val="000B4C2E"/>
    <w:rsid w:val="000C014F"/>
    <w:rsid w:val="000C0419"/>
    <w:rsid w:val="000C111E"/>
    <w:rsid w:val="000C2C67"/>
    <w:rsid w:val="000C47CC"/>
    <w:rsid w:val="000C526C"/>
    <w:rsid w:val="000C6E0C"/>
    <w:rsid w:val="000C70A5"/>
    <w:rsid w:val="000D0686"/>
    <w:rsid w:val="000D11B6"/>
    <w:rsid w:val="000D1243"/>
    <w:rsid w:val="000D143C"/>
    <w:rsid w:val="000D193B"/>
    <w:rsid w:val="000D2B2D"/>
    <w:rsid w:val="000D3194"/>
    <w:rsid w:val="000D669A"/>
    <w:rsid w:val="000E2299"/>
    <w:rsid w:val="000E38E1"/>
    <w:rsid w:val="000E44E4"/>
    <w:rsid w:val="000E7FC2"/>
    <w:rsid w:val="000F38E8"/>
    <w:rsid w:val="000F57D8"/>
    <w:rsid w:val="000F6EA1"/>
    <w:rsid w:val="00101F8B"/>
    <w:rsid w:val="0010232C"/>
    <w:rsid w:val="00102444"/>
    <w:rsid w:val="00103C1E"/>
    <w:rsid w:val="0010597E"/>
    <w:rsid w:val="00110808"/>
    <w:rsid w:val="0011472E"/>
    <w:rsid w:val="00114F2A"/>
    <w:rsid w:val="001151A1"/>
    <w:rsid w:val="00122145"/>
    <w:rsid w:val="0012287C"/>
    <w:rsid w:val="00122E64"/>
    <w:rsid w:val="00123682"/>
    <w:rsid w:val="001240D0"/>
    <w:rsid w:val="001243CC"/>
    <w:rsid w:val="00125515"/>
    <w:rsid w:val="00125D46"/>
    <w:rsid w:val="001309C4"/>
    <w:rsid w:val="00130F9E"/>
    <w:rsid w:val="00133DB5"/>
    <w:rsid w:val="001403FB"/>
    <w:rsid w:val="00141AA5"/>
    <w:rsid w:val="00144238"/>
    <w:rsid w:val="00150BB3"/>
    <w:rsid w:val="00154FC8"/>
    <w:rsid w:val="00155102"/>
    <w:rsid w:val="00157831"/>
    <w:rsid w:val="00157C8E"/>
    <w:rsid w:val="001606BD"/>
    <w:rsid w:val="00166416"/>
    <w:rsid w:val="00167F01"/>
    <w:rsid w:val="001729CF"/>
    <w:rsid w:val="001752EB"/>
    <w:rsid w:val="001762C7"/>
    <w:rsid w:val="001804D9"/>
    <w:rsid w:val="00180A8D"/>
    <w:rsid w:val="00181AAA"/>
    <w:rsid w:val="001822B3"/>
    <w:rsid w:val="0018370D"/>
    <w:rsid w:val="00196A58"/>
    <w:rsid w:val="001A1F11"/>
    <w:rsid w:val="001A49D5"/>
    <w:rsid w:val="001A72AE"/>
    <w:rsid w:val="001B1368"/>
    <w:rsid w:val="001C044F"/>
    <w:rsid w:val="001C0F69"/>
    <w:rsid w:val="001D608D"/>
    <w:rsid w:val="001D6F4B"/>
    <w:rsid w:val="001E07B9"/>
    <w:rsid w:val="001E0A70"/>
    <w:rsid w:val="001E0CD9"/>
    <w:rsid w:val="001E0D49"/>
    <w:rsid w:val="001E0F5A"/>
    <w:rsid w:val="001E21CC"/>
    <w:rsid w:val="001E35AC"/>
    <w:rsid w:val="001E5C6D"/>
    <w:rsid w:val="001E67A6"/>
    <w:rsid w:val="001E6B82"/>
    <w:rsid w:val="001E7917"/>
    <w:rsid w:val="001E7BA6"/>
    <w:rsid w:val="001F00BD"/>
    <w:rsid w:val="001F1DFD"/>
    <w:rsid w:val="001F2D16"/>
    <w:rsid w:val="002003BA"/>
    <w:rsid w:val="00200B6E"/>
    <w:rsid w:val="002030EE"/>
    <w:rsid w:val="002053DE"/>
    <w:rsid w:val="0020764A"/>
    <w:rsid w:val="00207FDF"/>
    <w:rsid w:val="00210980"/>
    <w:rsid w:val="0021106F"/>
    <w:rsid w:val="002112C0"/>
    <w:rsid w:val="00211D0E"/>
    <w:rsid w:val="0021331F"/>
    <w:rsid w:val="002143FE"/>
    <w:rsid w:val="0021654B"/>
    <w:rsid w:val="00221654"/>
    <w:rsid w:val="002236B2"/>
    <w:rsid w:val="0022728D"/>
    <w:rsid w:val="00230F05"/>
    <w:rsid w:val="00231D31"/>
    <w:rsid w:val="0023286D"/>
    <w:rsid w:val="00232EBB"/>
    <w:rsid w:val="00234E0F"/>
    <w:rsid w:val="00235582"/>
    <w:rsid w:val="002361E6"/>
    <w:rsid w:val="0024181E"/>
    <w:rsid w:val="00243B08"/>
    <w:rsid w:val="00243FED"/>
    <w:rsid w:val="0024725E"/>
    <w:rsid w:val="00247D12"/>
    <w:rsid w:val="0025466A"/>
    <w:rsid w:val="00256FFA"/>
    <w:rsid w:val="002574BE"/>
    <w:rsid w:val="0025782E"/>
    <w:rsid w:val="00266E19"/>
    <w:rsid w:val="002700A6"/>
    <w:rsid w:val="0027210F"/>
    <w:rsid w:val="002766E0"/>
    <w:rsid w:val="00277D3D"/>
    <w:rsid w:val="00280A32"/>
    <w:rsid w:val="00280B1F"/>
    <w:rsid w:val="002816F5"/>
    <w:rsid w:val="00284D69"/>
    <w:rsid w:val="00285F62"/>
    <w:rsid w:val="002874E6"/>
    <w:rsid w:val="00287F98"/>
    <w:rsid w:val="00295F77"/>
    <w:rsid w:val="002A0AE4"/>
    <w:rsid w:val="002A0BA8"/>
    <w:rsid w:val="002A1135"/>
    <w:rsid w:val="002A6621"/>
    <w:rsid w:val="002A674B"/>
    <w:rsid w:val="002A72B5"/>
    <w:rsid w:val="002B0854"/>
    <w:rsid w:val="002B4451"/>
    <w:rsid w:val="002B603D"/>
    <w:rsid w:val="002B745B"/>
    <w:rsid w:val="002C1E0E"/>
    <w:rsid w:val="002C338F"/>
    <w:rsid w:val="002D008B"/>
    <w:rsid w:val="002D0A83"/>
    <w:rsid w:val="002D2273"/>
    <w:rsid w:val="002D7ADF"/>
    <w:rsid w:val="002E1DDB"/>
    <w:rsid w:val="002E6D74"/>
    <w:rsid w:val="002E7F05"/>
    <w:rsid w:val="002F2EFE"/>
    <w:rsid w:val="003000E6"/>
    <w:rsid w:val="0030402E"/>
    <w:rsid w:val="00305E2A"/>
    <w:rsid w:val="00307AEF"/>
    <w:rsid w:val="00316F9A"/>
    <w:rsid w:val="003227C2"/>
    <w:rsid w:val="00323C90"/>
    <w:rsid w:val="003248DE"/>
    <w:rsid w:val="0032575C"/>
    <w:rsid w:val="00325F40"/>
    <w:rsid w:val="0032612F"/>
    <w:rsid w:val="003267A9"/>
    <w:rsid w:val="003302B8"/>
    <w:rsid w:val="003303DE"/>
    <w:rsid w:val="00330BBF"/>
    <w:rsid w:val="00336BF0"/>
    <w:rsid w:val="00340B0F"/>
    <w:rsid w:val="00340E9E"/>
    <w:rsid w:val="0034171F"/>
    <w:rsid w:val="0034224F"/>
    <w:rsid w:val="00342931"/>
    <w:rsid w:val="00345EDB"/>
    <w:rsid w:val="00347F1F"/>
    <w:rsid w:val="00353387"/>
    <w:rsid w:val="00355FE2"/>
    <w:rsid w:val="003572BD"/>
    <w:rsid w:val="0036093C"/>
    <w:rsid w:val="003614B4"/>
    <w:rsid w:val="0036209B"/>
    <w:rsid w:val="00366D30"/>
    <w:rsid w:val="00371782"/>
    <w:rsid w:val="0037591B"/>
    <w:rsid w:val="00376549"/>
    <w:rsid w:val="00377189"/>
    <w:rsid w:val="003802C5"/>
    <w:rsid w:val="00380CAE"/>
    <w:rsid w:val="00381F1B"/>
    <w:rsid w:val="00382670"/>
    <w:rsid w:val="00383A7E"/>
    <w:rsid w:val="00383FBE"/>
    <w:rsid w:val="00384973"/>
    <w:rsid w:val="0038526E"/>
    <w:rsid w:val="00387AA9"/>
    <w:rsid w:val="0039097D"/>
    <w:rsid w:val="0039280A"/>
    <w:rsid w:val="00395BB6"/>
    <w:rsid w:val="003A1B5C"/>
    <w:rsid w:val="003A365F"/>
    <w:rsid w:val="003A4134"/>
    <w:rsid w:val="003A6A45"/>
    <w:rsid w:val="003A6D2F"/>
    <w:rsid w:val="003B15A3"/>
    <w:rsid w:val="003B2C0F"/>
    <w:rsid w:val="003B33D6"/>
    <w:rsid w:val="003B3B61"/>
    <w:rsid w:val="003B485A"/>
    <w:rsid w:val="003B4E2B"/>
    <w:rsid w:val="003B5614"/>
    <w:rsid w:val="003B67AE"/>
    <w:rsid w:val="003B6D73"/>
    <w:rsid w:val="003C1472"/>
    <w:rsid w:val="003D0040"/>
    <w:rsid w:val="003D0343"/>
    <w:rsid w:val="003D03F0"/>
    <w:rsid w:val="003D126C"/>
    <w:rsid w:val="003D2C35"/>
    <w:rsid w:val="003D62C6"/>
    <w:rsid w:val="003D6E9C"/>
    <w:rsid w:val="003D771A"/>
    <w:rsid w:val="003E1BC1"/>
    <w:rsid w:val="003E23BA"/>
    <w:rsid w:val="003E4B98"/>
    <w:rsid w:val="003E51FB"/>
    <w:rsid w:val="003E5FCE"/>
    <w:rsid w:val="003E6AE0"/>
    <w:rsid w:val="003E7C79"/>
    <w:rsid w:val="003E7EAF"/>
    <w:rsid w:val="003F04C7"/>
    <w:rsid w:val="003F1875"/>
    <w:rsid w:val="003F18C8"/>
    <w:rsid w:val="003F33A0"/>
    <w:rsid w:val="003F4487"/>
    <w:rsid w:val="003F456A"/>
    <w:rsid w:val="00401F31"/>
    <w:rsid w:val="0040299E"/>
    <w:rsid w:val="00404957"/>
    <w:rsid w:val="00406F55"/>
    <w:rsid w:val="00410297"/>
    <w:rsid w:val="00410A94"/>
    <w:rsid w:val="00413FED"/>
    <w:rsid w:val="00416CA5"/>
    <w:rsid w:val="004173A4"/>
    <w:rsid w:val="00420371"/>
    <w:rsid w:val="004208C9"/>
    <w:rsid w:val="00424F32"/>
    <w:rsid w:val="004259A7"/>
    <w:rsid w:val="00425CF6"/>
    <w:rsid w:val="00433315"/>
    <w:rsid w:val="004346A7"/>
    <w:rsid w:val="004360F4"/>
    <w:rsid w:val="00437C56"/>
    <w:rsid w:val="00441965"/>
    <w:rsid w:val="00443BFC"/>
    <w:rsid w:val="00444FB5"/>
    <w:rsid w:val="004462C3"/>
    <w:rsid w:val="004465B7"/>
    <w:rsid w:val="004515C5"/>
    <w:rsid w:val="004535B2"/>
    <w:rsid w:val="004544B4"/>
    <w:rsid w:val="00454CB6"/>
    <w:rsid w:val="00454E40"/>
    <w:rsid w:val="00457447"/>
    <w:rsid w:val="00457D2E"/>
    <w:rsid w:val="00457D41"/>
    <w:rsid w:val="00460CDF"/>
    <w:rsid w:val="00461AAE"/>
    <w:rsid w:val="00461D0B"/>
    <w:rsid w:val="00461E24"/>
    <w:rsid w:val="004622C5"/>
    <w:rsid w:val="00462962"/>
    <w:rsid w:val="00463A18"/>
    <w:rsid w:val="004655D8"/>
    <w:rsid w:val="00465EA3"/>
    <w:rsid w:val="004668C8"/>
    <w:rsid w:val="00466D36"/>
    <w:rsid w:val="004671B7"/>
    <w:rsid w:val="0047728B"/>
    <w:rsid w:val="00482158"/>
    <w:rsid w:val="004835C5"/>
    <w:rsid w:val="0048398C"/>
    <w:rsid w:val="00486049"/>
    <w:rsid w:val="004879A0"/>
    <w:rsid w:val="00490DE2"/>
    <w:rsid w:val="00491D70"/>
    <w:rsid w:val="004945BF"/>
    <w:rsid w:val="004A25A0"/>
    <w:rsid w:val="004B1D7E"/>
    <w:rsid w:val="004B301B"/>
    <w:rsid w:val="004B4173"/>
    <w:rsid w:val="004B7619"/>
    <w:rsid w:val="004C0EE4"/>
    <w:rsid w:val="004C1458"/>
    <w:rsid w:val="004C50A7"/>
    <w:rsid w:val="004C5C5B"/>
    <w:rsid w:val="004D08BC"/>
    <w:rsid w:val="004D34C2"/>
    <w:rsid w:val="004D5382"/>
    <w:rsid w:val="004D6F06"/>
    <w:rsid w:val="004E34C4"/>
    <w:rsid w:val="004E388D"/>
    <w:rsid w:val="004E5D6E"/>
    <w:rsid w:val="004F04FE"/>
    <w:rsid w:val="004F0A49"/>
    <w:rsid w:val="004F0BB5"/>
    <w:rsid w:val="004F2DD5"/>
    <w:rsid w:val="004F330B"/>
    <w:rsid w:val="004F6774"/>
    <w:rsid w:val="004F705B"/>
    <w:rsid w:val="00501167"/>
    <w:rsid w:val="00506BE9"/>
    <w:rsid w:val="005135FE"/>
    <w:rsid w:val="00513752"/>
    <w:rsid w:val="005162E7"/>
    <w:rsid w:val="0051701C"/>
    <w:rsid w:val="00520AB6"/>
    <w:rsid w:val="005224D3"/>
    <w:rsid w:val="0052297B"/>
    <w:rsid w:val="00524D62"/>
    <w:rsid w:val="00525477"/>
    <w:rsid w:val="005259E7"/>
    <w:rsid w:val="00526AB6"/>
    <w:rsid w:val="005273D1"/>
    <w:rsid w:val="0053028A"/>
    <w:rsid w:val="0053054F"/>
    <w:rsid w:val="005319B6"/>
    <w:rsid w:val="00536A57"/>
    <w:rsid w:val="00540AFB"/>
    <w:rsid w:val="005421D6"/>
    <w:rsid w:val="00544419"/>
    <w:rsid w:val="00544B53"/>
    <w:rsid w:val="00545797"/>
    <w:rsid w:val="00551CC3"/>
    <w:rsid w:val="0055303A"/>
    <w:rsid w:val="00553C11"/>
    <w:rsid w:val="005609F5"/>
    <w:rsid w:val="00560EE6"/>
    <w:rsid w:val="00564610"/>
    <w:rsid w:val="005652BB"/>
    <w:rsid w:val="00565DB3"/>
    <w:rsid w:val="00567A02"/>
    <w:rsid w:val="00572D53"/>
    <w:rsid w:val="005805BA"/>
    <w:rsid w:val="00580971"/>
    <w:rsid w:val="00581697"/>
    <w:rsid w:val="00582DB8"/>
    <w:rsid w:val="005835DE"/>
    <w:rsid w:val="00583FAD"/>
    <w:rsid w:val="00584B8E"/>
    <w:rsid w:val="005878DD"/>
    <w:rsid w:val="00592BE2"/>
    <w:rsid w:val="00594DB0"/>
    <w:rsid w:val="00596D0F"/>
    <w:rsid w:val="005A1BC1"/>
    <w:rsid w:val="005A3E81"/>
    <w:rsid w:val="005A44A8"/>
    <w:rsid w:val="005A76F1"/>
    <w:rsid w:val="005A7866"/>
    <w:rsid w:val="005B1AED"/>
    <w:rsid w:val="005B3B80"/>
    <w:rsid w:val="005B74F5"/>
    <w:rsid w:val="005C4045"/>
    <w:rsid w:val="005C548C"/>
    <w:rsid w:val="005C6E7B"/>
    <w:rsid w:val="005D0EE4"/>
    <w:rsid w:val="005D45DF"/>
    <w:rsid w:val="005D4A60"/>
    <w:rsid w:val="005D5C85"/>
    <w:rsid w:val="005D63AE"/>
    <w:rsid w:val="005E148C"/>
    <w:rsid w:val="005E1DD3"/>
    <w:rsid w:val="005E4024"/>
    <w:rsid w:val="005E4061"/>
    <w:rsid w:val="005E6195"/>
    <w:rsid w:val="005E73B9"/>
    <w:rsid w:val="005F0428"/>
    <w:rsid w:val="005F051C"/>
    <w:rsid w:val="005F0C09"/>
    <w:rsid w:val="005F34C0"/>
    <w:rsid w:val="005F3B6E"/>
    <w:rsid w:val="005F457A"/>
    <w:rsid w:val="005F472D"/>
    <w:rsid w:val="005F50C5"/>
    <w:rsid w:val="005F72E4"/>
    <w:rsid w:val="00601C63"/>
    <w:rsid w:val="00603D63"/>
    <w:rsid w:val="00604F8F"/>
    <w:rsid w:val="00605CAA"/>
    <w:rsid w:val="00606C31"/>
    <w:rsid w:val="0061095C"/>
    <w:rsid w:val="006121D1"/>
    <w:rsid w:val="006160B6"/>
    <w:rsid w:val="00617D9B"/>
    <w:rsid w:val="006214C1"/>
    <w:rsid w:val="00624014"/>
    <w:rsid w:val="00627B49"/>
    <w:rsid w:val="00631799"/>
    <w:rsid w:val="00631F6E"/>
    <w:rsid w:val="006348D3"/>
    <w:rsid w:val="00635047"/>
    <w:rsid w:val="00640D33"/>
    <w:rsid w:val="00642ADF"/>
    <w:rsid w:val="00643623"/>
    <w:rsid w:val="00644BF9"/>
    <w:rsid w:val="00647680"/>
    <w:rsid w:val="006476DF"/>
    <w:rsid w:val="006509B5"/>
    <w:rsid w:val="00652A52"/>
    <w:rsid w:val="00654164"/>
    <w:rsid w:val="00654EFA"/>
    <w:rsid w:val="00656887"/>
    <w:rsid w:val="00656D15"/>
    <w:rsid w:val="00660DC4"/>
    <w:rsid w:val="00661830"/>
    <w:rsid w:val="00666CA8"/>
    <w:rsid w:val="00667D63"/>
    <w:rsid w:val="006701A3"/>
    <w:rsid w:val="0067164E"/>
    <w:rsid w:val="0067168A"/>
    <w:rsid w:val="006717EB"/>
    <w:rsid w:val="00671F4B"/>
    <w:rsid w:val="00674FD4"/>
    <w:rsid w:val="006779D3"/>
    <w:rsid w:val="0068026C"/>
    <w:rsid w:val="00681956"/>
    <w:rsid w:val="006852A9"/>
    <w:rsid w:val="00690EA0"/>
    <w:rsid w:val="006917CD"/>
    <w:rsid w:val="00691CB9"/>
    <w:rsid w:val="00694AE7"/>
    <w:rsid w:val="00695008"/>
    <w:rsid w:val="00697327"/>
    <w:rsid w:val="006A1406"/>
    <w:rsid w:val="006A5542"/>
    <w:rsid w:val="006B7E81"/>
    <w:rsid w:val="006C03EF"/>
    <w:rsid w:val="006C0A79"/>
    <w:rsid w:val="006C0CB9"/>
    <w:rsid w:val="006C48BC"/>
    <w:rsid w:val="006C7902"/>
    <w:rsid w:val="006C7C4E"/>
    <w:rsid w:val="006D57A6"/>
    <w:rsid w:val="006D64C0"/>
    <w:rsid w:val="006D7301"/>
    <w:rsid w:val="006E3F08"/>
    <w:rsid w:val="006E49B1"/>
    <w:rsid w:val="006E54BF"/>
    <w:rsid w:val="006E5ACF"/>
    <w:rsid w:val="006E754B"/>
    <w:rsid w:val="006E7F20"/>
    <w:rsid w:val="006F048A"/>
    <w:rsid w:val="006F2505"/>
    <w:rsid w:val="006F3785"/>
    <w:rsid w:val="006F6B6F"/>
    <w:rsid w:val="00701C3A"/>
    <w:rsid w:val="007039C6"/>
    <w:rsid w:val="00704421"/>
    <w:rsid w:val="00704842"/>
    <w:rsid w:val="007056FB"/>
    <w:rsid w:val="007100F9"/>
    <w:rsid w:val="00711BB0"/>
    <w:rsid w:val="007124E3"/>
    <w:rsid w:val="00712791"/>
    <w:rsid w:val="00714570"/>
    <w:rsid w:val="00714598"/>
    <w:rsid w:val="00720E40"/>
    <w:rsid w:val="007272A3"/>
    <w:rsid w:val="007275E6"/>
    <w:rsid w:val="00727938"/>
    <w:rsid w:val="00733002"/>
    <w:rsid w:val="0073369E"/>
    <w:rsid w:val="00733AB6"/>
    <w:rsid w:val="007401A3"/>
    <w:rsid w:val="007408A7"/>
    <w:rsid w:val="007424AD"/>
    <w:rsid w:val="007431CB"/>
    <w:rsid w:val="007432D3"/>
    <w:rsid w:val="00744043"/>
    <w:rsid w:val="00747056"/>
    <w:rsid w:val="0075434B"/>
    <w:rsid w:val="00756180"/>
    <w:rsid w:val="00757BC0"/>
    <w:rsid w:val="0076370C"/>
    <w:rsid w:val="00764E4F"/>
    <w:rsid w:val="0076561C"/>
    <w:rsid w:val="0076788F"/>
    <w:rsid w:val="007703FF"/>
    <w:rsid w:val="00771010"/>
    <w:rsid w:val="007726D3"/>
    <w:rsid w:val="00774BBC"/>
    <w:rsid w:val="00776592"/>
    <w:rsid w:val="007815AA"/>
    <w:rsid w:val="007820C4"/>
    <w:rsid w:val="007823A3"/>
    <w:rsid w:val="007848B5"/>
    <w:rsid w:val="007868E5"/>
    <w:rsid w:val="00786C60"/>
    <w:rsid w:val="00787FB8"/>
    <w:rsid w:val="00790CB2"/>
    <w:rsid w:val="00795A16"/>
    <w:rsid w:val="00796934"/>
    <w:rsid w:val="00796C22"/>
    <w:rsid w:val="007A267B"/>
    <w:rsid w:val="007A4515"/>
    <w:rsid w:val="007A47B2"/>
    <w:rsid w:val="007A6ACD"/>
    <w:rsid w:val="007B16C4"/>
    <w:rsid w:val="007B4F4C"/>
    <w:rsid w:val="007B5587"/>
    <w:rsid w:val="007B61E9"/>
    <w:rsid w:val="007B7B6E"/>
    <w:rsid w:val="007C6071"/>
    <w:rsid w:val="007C7D3D"/>
    <w:rsid w:val="007D08A6"/>
    <w:rsid w:val="007D6A4B"/>
    <w:rsid w:val="007E4EA7"/>
    <w:rsid w:val="007E7024"/>
    <w:rsid w:val="007F3759"/>
    <w:rsid w:val="007F436D"/>
    <w:rsid w:val="007F5225"/>
    <w:rsid w:val="007F6FFD"/>
    <w:rsid w:val="008016B9"/>
    <w:rsid w:val="00802E42"/>
    <w:rsid w:val="008103DA"/>
    <w:rsid w:val="008105FE"/>
    <w:rsid w:val="0081074D"/>
    <w:rsid w:val="008120F8"/>
    <w:rsid w:val="008129D6"/>
    <w:rsid w:val="0081448C"/>
    <w:rsid w:val="00815618"/>
    <w:rsid w:val="0082260F"/>
    <w:rsid w:val="00822846"/>
    <w:rsid w:val="008237EE"/>
    <w:rsid w:val="00823F90"/>
    <w:rsid w:val="00825BAE"/>
    <w:rsid w:val="008260A0"/>
    <w:rsid w:val="00826E67"/>
    <w:rsid w:val="00830CF3"/>
    <w:rsid w:val="00831B07"/>
    <w:rsid w:val="0083386F"/>
    <w:rsid w:val="00836944"/>
    <w:rsid w:val="0083782E"/>
    <w:rsid w:val="00840D69"/>
    <w:rsid w:val="008418F3"/>
    <w:rsid w:val="00841B25"/>
    <w:rsid w:val="00846019"/>
    <w:rsid w:val="00851ECF"/>
    <w:rsid w:val="00853594"/>
    <w:rsid w:val="0085452F"/>
    <w:rsid w:val="0085502A"/>
    <w:rsid w:val="0085579D"/>
    <w:rsid w:val="008600F0"/>
    <w:rsid w:val="00860389"/>
    <w:rsid w:val="00860EE1"/>
    <w:rsid w:val="00861EF4"/>
    <w:rsid w:val="00862F3D"/>
    <w:rsid w:val="008648FC"/>
    <w:rsid w:val="00864BF3"/>
    <w:rsid w:val="00865274"/>
    <w:rsid w:val="00870D67"/>
    <w:rsid w:val="00871FDE"/>
    <w:rsid w:val="00872F78"/>
    <w:rsid w:val="00873971"/>
    <w:rsid w:val="00873F3C"/>
    <w:rsid w:val="00874C53"/>
    <w:rsid w:val="008773E8"/>
    <w:rsid w:val="0087772C"/>
    <w:rsid w:val="00881874"/>
    <w:rsid w:val="0088792E"/>
    <w:rsid w:val="0089273D"/>
    <w:rsid w:val="00895958"/>
    <w:rsid w:val="0089770D"/>
    <w:rsid w:val="008A0D35"/>
    <w:rsid w:val="008A3AF0"/>
    <w:rsid w:val="008A683F"/>
    <w:rsid w:val="008A6E85"/>
    <w:rsid w:val="008A72D8"/>
    <w:rsid w:val="008B1084"/>
    <w:rsid w:val="008B2563"/>
    <w:rsid w:val="008B5B92"/>
    <w:rsid w:val="008B6332"/>
    <w:rsid w:val="008C1C9A"/>
    <w:rsid w:val="008C22C6"/>
    <w:rsid w:val="008C3378"/>
    <w:rsid w:val="008C50F4"/>
    <w:rsid w:val="008D0C91"/>
    <w:rsid w:val="008D600F"/>
    <w:rsid w:val="008D649F"/>
    <w:rsid w:val="008D7CBB"/>
    <w:rsid w:val="008D7F4E"/>
    <w:rsid w:val="008E283C"/>
    <w:rsid w:val="008E40E3"/>
    <w:rsid w:val="008E7179"/>
    <w:rsid w:val="008F3972"/>
    <w:rsid w:val="00900074"/>
    <w:rsid w:val="009000C6"/>
    <w:rsid w:val="00900C53"/>
    <w:rsid w:val="00901D00"/>
    <w:rsid w:val="00903EA9"/>
    <w:rsid w:val="009052BA"/>
    <w:rsid w:val="00906BAC"/>
    <w:rsid w:val="00910A04"/>
    <w:rsid w:val="00915C6B"/>
    <w:rsid w:val="00916C44"/>
    <w:rsid w:val="00917857"/>
    <w:rsid w:val="00920A80"/>
    <w:rsid w:val="0092213E"/>
    <w:rsid w:val="00923B8C"/>
    <w:rsid w:val="00924791"/>
    <w:rsid w:val="00924CEF"/>
    <w:rsid w:val="00924F77"/>
    <w:rsid w:val="0093128F"/>
    <w:rsid w:val="00932866"/>
    <w:rsid w:val="009333AD"/>
    <w:rsid w:val="009338CC"/>
    <w:rsid w:val="00935633"/>
    <w:rsid w:val="00944A3C"/>
    <w:rsid w:val="009463BF"/>
    <w:rsid w:val="00950F6B"/>
    <w:rsid w:val="00953914"/>
    <w:rsid w:val="009558E4"/>
    <w:rsid w:val="00955A30"/>
    <w:rsid w:val="0095616B"/>
    <w:rsid w:val="00963459"/>
    <w:rsid w:val="009637D1"/>
    <w:rsid w:val="00963EB3"/>
    <w:rsid w:val="00964EA9"/>
    <w:rsid w:val="0097291D"/>
    <w:rsid w:val="00972A03"/>
    <w:rsid w:val="00973DB5"/>
    <w:rsid w:val="009759FB"/>
    <w:rsid w:val="00975BA1"/>
    <w:rsid w:val="00975E5A"/>
    <w:rsid w:val="00977008"/>
    <w:rsid w:val="00977ED7"/>
    <w:rsid w:val="00980291"/>
    <w:rsid w:val="0098576A"/>
    <w:rsid w:val="00987B2F"/>
    <w:rsid w:val="009904DB"/>
    <w:rsid w:val="00995128"/>
    <w:rsid w:val="00995933"/>
    <w:rsid w:val="009978F6"/>
    <w:rsid w:val="009A1CD0"/>
    <w:rsid w:val="009A25C9"/>
    <w:rsid w:val="009A5D5A"/>
    <w:rsid w:val="009A7266"/>
    <w:rsid w:val="009B14EB"/>
    <w:rsid w:val="009B1EC2"/>
    <w:rsid w:val="009B239B"/>
    <w:rsid w:val="009B2F63"/>
    <w:rsid w:val="009B6A6F"/>
    <w:rsid w:val="009B7F1B"/>
    <w:rsid w:val="009C655C"/>
    <w:rsid w:val="009C7DCA"/>
    <w:rsid w:val="009D373F"/>
    <w:rsid w:val="009E0777"/>
    <w:rsid w:val="009E2D6B"/>
    <w:rsid w:val="009E352E"/>
    <w:rsid w:val="009E3A89"/>
    <w:rsid w:val="009E3ED4"/>
    <w:rsid w:val="009E6B75"/>
    <w:rsid w:val="009F0AC3"/>
    <w:rsid w:val="009F1E70"/>
    <w:rsid w:val="009F3349"/>
    <w:rsid w:val="009F3D54"/>
    <w:rsid w:val="009F54E3"/>
    <w:rsid w:val="009F5A10"/>
    <w:rsid w:val="00A00521"/>
    <w:rsid w:val="00A0068D"/>
    <w:rsid w:val="00A02E84"/>
    <w:rsid w:val="00A04B5B"/>
    <w:rsid w:val="00A11948"/>
    <w:rsid w:val="00A12677"/>
    <w:rsid w:val="00A136A6"/>
    <w:rsid w:val="00A13B3E"/>
    <w:rsid w:val="00A20489"/>
    <w:rsid w:val="00A20F1B"/>
    <w:rsid w:val="00A21716"/>
    <w:rsid w:val="00A22BBF"/>
    <w:rsid w:val="00A248BD"/>
    <w:rsid w:val="00A2498E"/>
    <w:rsid w:val="00A24B7D"/>
    <w:rsid w:val="00A254D8"/>
    <w:rsid w:val="00A268A6"/>
    <w:rsid w:val="00A308DB"/>
    <w:rsid w:val="00A31666"/>
    <w:rsid w:val="00A36F11"/>
    <w:rsid w:val="00A42720"/>
    <w:rsid w:val="00A42822"/>
    <w:rsid w:val="00A44089"/>
    <w:rsid w:val="00A443C2"/>
    <w:rsid w:val="00A46A25"/>
    <w:rsid w:val="00A50178"/>
    <w:rsid w:val="00A5460A"/>
    <w:rsid w:val="00A630BC"/>
    <w:rsid w:val="00A63A00"/>
    <w:rsid w:val="00A6535D"/>
    <w:rsid w:val="00A667A3"/>
    <w:rsid w:val="00A70AF5"/>
    <w:rsid w:val="00A741F1"/>
    <w:rsid w:val="00A74BD0"/>
    <w:rsid w:val="00A74F43"/>
    <w:rsid w:val="00A77001"/>
    <w:rsid w:val="00A82DAD"/>
    <w:rsid w:val="00A83076"/>
    <w:rsid w:val="00A83093"/>
    <w:rsid w:val="00A84E0E"/>
    <w:rsid w:val="00A8614C"/>
    <w:rsid w:val="00A86894"/>
    <w:rsid w:val="00A869EC"/>
    <w:rsid w:val="00AA2FD8"/>
    <w:rsid w:val="00AA3046"/>
    <w:rsid w:val="00AA31E0"/>
    <w:rsid w:val="00AA5CBC"/>
    <w:rsid w:val="00AA7D5D"/>
    <w:rsid w:val="00AA7F19"/>
    <w:rsid w:val="00AB4C48"/>
    <w:rsid w:val="00AB4C82"/>
    <w:rsid w:val="00AB6699"/>
    <w:rsid w:val="00AB7BF4"/>
    <w:rsid w:val="00AC10A4"/>
    <w:rsid w:val="00AC5C11"/>
    <w:rsid w:val="00AC6EDA"/>
    <w:rsid w:val="00AC749D"/>
    <w:rsid w:val="00AD5690"/>
    <w:rsid w:val="00AD6032"/>
    <w:rsid w:val="00AD6BE3"/>
    <w:rsid w:val="00AD78D3"/>
    <w:rsid w:val="00AD7A05"/>
    <w:rsid w:val="00AE190C"/>
    <w:rsid w:val="00AE7972"/>
    <w:rsid w:val="00AF252F"/>
    <w:rsid w:val="00AF6623"/>
    <w:rsid w:val="00AF6F01"/>
    <w:rsid w:val="00B003EE"/>
    <w:rsid w:val="00B0241D"/>
    <w:rsid w:val="00B030B0"/>
    <w:rsid w:val="00B06348"/>
    <w:rsid w:val="00B0637A"/>
    <w:rsid w:val="00B07950"/>
    <w:rsid w:val="00B10AED"/>
    <w:rsid w:val="00B129A2"/>
    <w:rsid w:val="00B16BD0"/>
    <w:rsid w:val="00B16C91"/>
    <w:rsid w:val="00B16EF5"/>
    <w:rsid w:val="00B17315"/>
    <w:rsid w:val="00B2075E"/>
    <w:rsid w:val="00B22794"/>
    <w:rsid w:val="00B278C4"/>
    <w:rsid w:val="00B328D4"/>
    <w:rsid w:val="00B32F43"/>
    <w:rsid w:val="00B33174"/>
    <w:rsid w:val="00B34ACE"/>
    <w:rsid w:val="00B433D4"/>
    <w:rsid w:val="00B45256"/>
    <w:rsid w:val="00B45B38"/>
    <w:rsid w:val="00B462AE"/>
    <w:rsid w:val="00B47947"/>
    <w:rsid w:val="00B47C98"/>
    <w:rsid w:val="00B50281"/>
    <w:rsid w:val="00B56751"/>
    <w:rsid w:val="00B56CA4"/>
    <w:rsid w:val="00B6091C"/>
    <w:rsid w:val="00B609BF"/>
    <w:rsid w:val="00B619A9"/>
    <w:rsid w:val="00B66330"/>
    <w:rsid w:val="00B67D94"/>
    <w:rsid w:val="00B715E3"/>
    <w:rsid w:val="00B73457"/>
    <w:rsid w:val="00B76DB7"/>
    <w:rsid w:val="00B778CF"/>
    <w:rsid w:val="00B81E09"/>
    <w:rsid w:val="00B83C5A"/>
    <w:rsid w:val="00B85455"/>
    <w:rsid w:val="00B86835"/>
    <w:rsid w:val="00B90AD8"/>
    <w:rsid w:val="00B91ED4"/>
    <w:rsid w:val="00B92B50"/>
    <w:rsid w:val="00B948A5"/>
    <w:rsid w:val="00BA0B10"/>
    <w:rsid w:val="00BA1429"/>
    <w:rsid w:val="00BA154E"/>
    <w:rsid w:val="00BA1C9F"/>
    <w:rsid w:val="00BA2267"/>
    <w:rsid w:val="00BA2589"/>
    <w:rsid w:val="00BA4022"/>
    <w:rsid w:val="00BA45A8"/>
    <w:rsid w:val="00BA56DF"/>
    <w:rsid w:val="00BB1CD5"/>
    <w:rsid w:val="00BB3412"/>
    <w:rsid w:val="00BB5D95"/>
    <w:rsid w:val="00BB66FB"/>
    <w:rsid w:val="00BB6F13"/>
    <w:rsid w:val="00BB7662"/>
    <w:rsid w:val="00BC081A"/>
    <w:rsid w:val="00BC0886"/>
    <w:rsid w:val="00BC0B52"/>
    <w:rsid w:val="00BC6400"/>
    <w:rsid w:val="00BC6943"/>
    <w:rsid w:val="00BC710B"/>
    <w:rsid w:val="00BD3280"/>
    <w:rsid w:val="00BD507A"/>
    <w:rsid w:val="00BE09C4"/>
    <w:rsid w:val="00BE1409"/>
    <w:rsid w:val="00BE2AB6"/>
    <w:rsid w:val="00BE2E0F"/>
    <w:rsid w:val="00BE3668"/>
    <w:rsid w:val="00BF035E"/>
    <w:rsid w:val="00BF0CEE"/>
    <w:rsid w:val="00BF0DC3"/>
    <w:rsid w:val="00BF403A"/>
    <w:rsid w:val="00BF6B30"/>
    <w:rsid w:val="00BF788D"/>
    <w:rsid w:val="00C016FC"/>
    <w:rsid w:val="00C01F70"/>
    <w:rsid w:val="00C02322"/>
    <w:rsid w:val="00C05111"/>
    <w:rsid w:val="00C0562D"/>
    <w:rsid w:val="00C07A5B"/>
    <w:rsid w:val="00C10543"/>
    <w:rsid w:val="00C126CD"/>
    <w:rsid w:val="00C13C0C"/>
    <w:rsid w:val="00C16573"/>
    <w:rsid w:val="00C16AC6"/>
    <w:rsid w:val="00C16DEC"/>
    <w:rsid w:val="00C20B96"/>
    <w:rsid w:val="00C22D9A"/>
    <w:rsid w:val="00C3293D"/>
    <w:rsid w:val="00C37700"/>
    <w:rsid w:val="00C37A3B"/>
    <w:rsid w:val="00C37CE2"/>
    <w:rsid w:val="00C37E51"/>
    <w:rsid w:val="00C44B5A"/>
    <w:rsid w:val="00C45104"/>
    <w:rsid w:val="00C45649"/>
    <w:rsid w:val="00C457E4"/>
    <w:rsid w:val="00C470DC"/>
    <w:rsid w:val="00C4793A"/>
    <w:rsid w:val="00C47DA8"/>
    <w:rsid w:val="00C47DDA"/>
    <w:rsid w:val="00C50277"/>
    <w:rsid w:val="00C53753"/>
    <w:rsid w:val="00C547FF"/>
    <w:rsid w:val="00C57DAF"/>
    <w:rsid w:val="00C60900"/>
    <w:rsid w:val="00C64CEF"/>
    <w:rsid w:val="00C64FC1"/>
    <w:rsid w:val="00C67D6E"/>
    <w:rsid w:val="00C70BAB"/>
    <w:rsid w:val="00C80BB2"/>
    <w:rsid w:val="00C840B1"/>
    <w:rsid w:val="00C8454E"/>
    <w:rsid w:val="00C87087"/>
    <w:rsid w:val="00C91B9A"/>
    <w:rsid w:val="00C954EB"/>
    <w:rsid w:val="00C958D1"/>
    <w:rsid w:val="00C96522"/>
    <w:rsid w:val="00CA11C2"/>
    <w:rsid w:val="00CA329C"/>
    <w:rsid w:val="00CB0310"/>
    <w:rsid w:val="00CB11EA"/>
    <w:rsid w:val="00CB13B9"/>
    <w:rsid w:val="00CB506E"/>
    <w:rsid w:val="00CB5570"/>
    <w:rsid w:val="00CB7EEC"/>
    <w:rsid w:val="00CC2620"/>
    <w:rsid w:val="00CC305A"/>
    <w:rsid w:val="00CC3FE7"/>
    <w:rsid w:val="00CC5CD4"/>
    <w:rsid w:val="00CC60F9"/>
    <w:rsid w:val="00CC7170"/>
    <w:rsid w:val="00CD0F92"/>
    <w:rsid w:val="00CD2766"/>
    <w:rsid w:val="00CD343A"/>
    <w:rsid w:val="00CD5BF9"/>
    <w:rsid w:val="00CD73A3"/>
    <w:rsid w:val="00CE0F40"/>
    <w:rsid w:val="00CF0BD8"/>
    <w:rsid w:val="00CF1211"/>
    <w:rsid w:val="00CF32BB"/>
    <w:rsid w:val="00CF34B7"/>
    <w:rsid w:val="00CF4E85"/>
    <w:rsid w:val="00CF6647"/>
    <w:rsid w:val="00CF77EF"/>
    <w:rsid w:val="00D00BCF"/>
    <w:rsid w:val="00D01179"/>
    <w:rsid w:val="00D02347"/>
    <w:rsid w:val="00D03330"/>
    <w:rsid w:val="00D061EB"/>
    <w:rsid w:val="00D068A9"/>
    <w:rsid w:val="00D12DBC"/>
    <w:rsid w:val="00D15F77"/>
    <w:rsid w:val="00D162FC"/>
    <w:rsid w:val="00D166E6"/>
    <w:rsid w:val="00D16915"/>
    <w:rsid w:val="00D17C5C"/>
    <w:rsid w:val="00D2018B"/>
    <w:rsid w:val="00D21093"/>
    <w:rsid w:val="00D223FD"/>
    <w:rsid w:val="00D22567"/>
    <w:rsid w:val="00D23481"/>
    <w:rsid w:val="00D24316"/>
    <w:rsid w:val="00D2620A"/>
    <w:rsid w:val="00D2665C"/>
    <w:rsid w:val="00D27BB8"/>
    <w:rsid w:val="00D33457"/>
    <w:rsid w:val="00D34AE1"/>
    <w:rsid w:val="00D43B56"/>
    <w:rsid w:val="00D44C83"/>
    <w:rsid w:val="00D45FD9"/>
    <w:rsid w:val="00D464CB"/>
    <w:rsid w:val="00D467CA"/>
    <w:rsid w:val="00D50627"/>
    <w:rsid w:val="00D51790"/>
    <w:rsid w:val="00D534E9"/>
    <w:rsid w:val="00D62BBE"/>
    <w:rsid w:val="00D66823"/>
    <w:rsid w:val="00D72826"/>
    <w:rsid w:val="00D748A4"/>
    <w:rsid w:val="00D74FBA"/>
    <w:rsid w:val="00D75115"/>
    <w:rsid w:val="00D7692B"/>
    <w:rsid w:val="00D77FEE"/>
    <w:rsid w:val="00D80AC3"/>
    <w:rsid w:val="00D80C0E"/>
    <w:rsid w:val="00D837AC"/>
    <w:rsid w:val="00D84A08"/>
    <w:rsid w:val="00D85904"/>
    <w:rsid w:val="00D92020"/>
    <w:rsid w:val="00D94E44"/>
    <w:rsid w:val="00D960CD"/>
    <w:rsid w:val="00D96396"/>
    <w:rsid w:val="00D96C37"/>
    <w:rsid w:val="00D96E0D"/>
    <w:rsid w:val="00D9760D"/>
    <w:rsid w:val="00D9E413"/>
    <w:rsid w:val="00DA0BD4"/>
    <w:rsid w:val="00DA205F"/>
    <w:rsid w:val="00DA3488"/>
    <w:rsid w:val="00DA4378"/>
    <w:rsid w:val="00DB023B"/>
    <w:rsid w:val="00DB12AA"/>
    <w:rsid w:val="00DB12D0"/>
    <w:rsid w:val="00DB1AE3"/>
    <w:rsid w:val="00DB2512"/>
    <w:rsid w:val="00DB305E"/>
    <w:rsid w:val="00DB31FA"/>
    <w:rsid w:val="00DB3220"/>
    <w:rsid w:val="00DB73A2"/>
    <w:rsid w:val="00DB7878"/>
    <w:rsid w:val="00DC1299"/>
    <w:rsid w:val="00DC4778"/>
    <w:rsid w:val="00DD03B8"/>
    <w:rsid w:val="00DD7615"/>
    <w:rsid w:val="00DD7926"/>
    <w:rsid w:val="00DD7973"/>
    <w:rsid w:val="00DE02CF"/>
    <w:rsid w:val="00DE0E9F"/>
    <w:rsid w:val="00DE1654"/>
    <w:rsid w:val="00DE17AD"/>
    <w:rsid w:val="00DE1EEA"/>
    <w:rsid w:val="00DE5246"/>
    <w:rsid w:val="00DE5E63"/>
    <w:rsid w:val="00DF0B54"/>
    <w:rsid w:val="00DF23C6"/>
    <w:rsid w:val="00DF2FE0"/>
    <w:rsid w:val="00DF777C"/>
    <w:rsid w:val="00E01C8E"/>
    <w:rsid w:val="00E04BFC"/>
    <w:rsid w:val="00E05196"/>
    <w:rsid w:val="00E06A41"/>
    <w:rsid w:val="00E1119D"/>
    <w:rsid w:val="00E115EF"/>
    <w:rsid w:val="00E11C86"/>
    <w:rsid w:val="00E12BB6"/>
    <w:rsid w:val="00E12DDE"/>
    <w:rsid w:val="00E14734"/>
    <w:rsid w:val="00E14CB6"/>
    <w:rsid w:val="00E15D32"/>
    <w:rsid w:val="00E220D4"/>
    <w:rsid w:val="00E222EA"/>
    <w:rsid w:val="00E226E0"/>
    <w:rsid w:val="00E2462C"/>
    <w:rsid w:val="00E27BAB"/>
    <w:rsid w:val="00E3132B"/>
    <w:rsid w:val="00E314FC"/>
    <w:rsid w:val="00E325F8"/>
    <w:rsid w:val="00E327EE"/>
    <w:rsid w:val="00E33C12"/>
    <w:rsid w:val="00E35CDB"/>
    <w:rsid w:val="00E36A41"/>
    <w:rsid w:val="00E373FF"/>
    <w:rsid w:val="00E37E86"/>
    <w:rsid w:val="00E42A5F"/>
    <w:rsid w:val="00E43B56"/>
    <w:rsid w:val="00E47554"/>
    <w:rsid w:val="00E515F0"/>
    <w:rsid w:val="00E523A6"/>
    <w:rsid w:val="00E53773"/>
    <w:rsid w:val="00E54D7E"/>
    <w:rsid w:val="00E562FA"/>
    <w:rsid w:val="00E56D7A"/>
    <w:rsid w:val="00E57A65"/>
    <w:rsid w:val="00E57DB5"/>
    <w:rsid w:val="00E63B33"/>
    <w:rsid w:val="00E64662"/>
    <w:rsid w:val="00E661D6"/>
    <w:rsid w:val="00E67C41"/>
    <w:rsid w:val="00E703A5"/>
    <w:rsid w:val="00E739F8"/>
    <w:rsid w:val="00E77853"/>
    <w:rsid w:val="00E80508"/>
    <w:rsid w:val="00E80BF2"/>
    <w:rsid w:val="00E8153C"/>
    <w:rsid w:val="00E82B86"/>
    <w:rsid w:val="00E84651"/>
    <w:rsid w:val="00E8731F"/>
    <w:rsid w:val="00E90367"/>
    <w:rsid w:val="00E90CE7"/>
    <w:rsid w:val="00E958D6"/>
    <w:rsid w:val="00EA33F0"/>
    <w:rsid w:val="00EA78F9"/>
    <w:rsid w:val="00EB4BC6"/>
    <w:rsid w:val="00EC09B2"/>
    <w:rsid w:val="00EC3D0D"/>
    <w:rsid w:val="00ED09EE"/>
    <w:rsid w:val="00ED0D3F"/>
    <w:rsid w:val="00ED147E"/>
    <w:rsid w:val="00ED19B6"/>
    <w:rsid w:val="00ED2929"/>
    <w:rsid w:val="00ED35EC"/>
    <w:rsid w:val="00ED47AE"/>
    <w:rsid w:val="00ED55CC"/>
    <w:rsid w:val="00EE021A"/>
    <w:rsid w:val="00EE0F4F"/>
    <w:rsid w:val="00EE13EB"/>
    <w:rsid w:val="00EE3355"/>
    <w:rsid w:val="00EE5576"/>
    <w:rsid w:val="00EE5C9D"/>
    <w:rsid w:val="00EE6326"/>
    <w:rsid w:val="00EE6DAE"/>
    <w:rsid w:val="00EF0060"/>
    <w:rsid w:val="00EF04F9"/>
    <w:rsid w:val="00EF11CB"/>
    <w:rsid w:val="00EF3AA3"/>
    <w:rsid w:val="00EF44EF"/>
    <w:rsid w:val="00EF5D3F"/>
    <w:rsid w:val="00EF79FA"/>
    <w:rsid w:val="00F00115"/>
    <w:rsid w:val="00F017ED"/>
    <w:rsid w:val="00F02902"/>
    <w:rsid w:val="00F04197"/>
    <w:rsid w:val="00F05C78"/>
    <w:rsid w:val="00F05DF4"/>
    <w:rsid w:val="00F0709F"/>
    <w:rsid w:val="00F1052A"/>
    <w:rsid w:val="00F13E16"/>
    <w:rsid w:val="00F177DE"/>
    <w:rsid w:val="00F20655"/>
    <w:rsid w:val="00F21DBA"/>
    <w:rsid w:val="00F23DCD"/>
    <w:rsid w:val="00F27B70"/>
    <w:rsid w:val="00F339C8"/>
    <w:rsid w:val="00F36012"/>
    <w:rsid w:val="00F410EE"/>
    <w:rsid w:val="00F45BF4"/>
    <w:rsid w:val="00F5114B"/>
    <w:rsid w:val="00F514AF"/>
    <w:rsid w:val="00F5192F"/>
    <w:rsid w:val="00F56299"/>
    <w:rsid w:val="00F5634A"/>
    <w:rsid w:val="00F569BE"/>
    <w:rsid w:val="00F6086B"/>
    <w:rsid w:val="00F62F9C"/>
    <w:rsid w:val="00F65B16"/>
    <w:rsid w:val="00F664E1"/>
    <w:rsid w:val="00F674B6"/>
    <w:rsid w:val="00F70C7D"/>
    <w:rsid w:val="00F74112"/>
    <w:rsid w:val="00F751DB"/>
    <w:rsid w:val="00F8180D"/>
    <w:rsid w:val="00F83397"/>
    <w:rsid w:val="00F844FE"/>
    <w:rsid w:val="00F85E14"/>
    <w:rsid w:val="00F87258"/>
    <w:rsid w:val="00F8745A"/>
    <w:rsid w:val="00F879C3"/>
    <w:rsid w:val="00F926A4"/>
    <w:rsid w:val="00F94808"/>
    <w:rsid w:val="00F95039"/>
    <w:rsid w:val="00F95725"/>
    <w:rsid w:val="00F96E80"/>
    <w:rsid w:val="00F973CE"/>
    <w:rsid w:val="00FA27DA"/>
    <w:rsid w:val="00FA31A5"/>
    <w:rsid w:val="00FA3425"/>
    <w:rsid w:val="00FA6A45"/>
    <w:rsid w:val="00FA7D25"/>
    <w:rsid w:val="00FB0126"/>
    <w:rsid w:val="00FB0D91"/>
    <w:rsid w:val="00FB1BA1"/>
    <w:rsid w:val="00FB25C1"/>
    <w:rsid w:val="00FB444B"/>
    <w:rsid w:val="00FB7EE3"/>
    <w:rsid w:val="00FC33C2"/>
    <w:rsid w:val="00FD0B19"/>
    <w:rsid w:val="00FD3673"/>
    <w:rsid w:val="00FD4901"/>
    <w:rsid w:val="00FD4B8E"/>
    <w:rsid w:val="00FE325A"/>
    <w:rsid w:val="00FE5CF5"/>
    <w:rsid w:val="00FF062C"/>
    <w:rsid w:val="00FF18D1"/>
    <w:rsid w:val="00FF3F4C"/>
    <w:rsid w:val="00FF4316"/>
    <w:rsid w:val="00FF46AB"/>
    <w:rsid w:val="00FF67DE"/>
    <w:rsid w:val="019A6284"/>
    <w:rsid w:val="027A3CF3"/>
    <w:rsid w:val="03B8D929"/>
    <w:rsid w:val="075AAD32"/>
    <w:rsid w:val="0B016270"/>
    <w:rsid w:val="0BF6AC5C"/>
    <w:rsid w:val="0C53ED82"/>
    <w:rsid w:val="0FFC0389"/>
    <w:rsid w:val="10D17043"/>
    <w:rsid w:val="10D22423"/>
    <w:rsid w:val="13735479"/>
    <w:rsid w:val="13E88E60"/>
    <w:rsid w:val="1432B19C"/>
    <w:rsid w:val="1B51B64A"/>
    <w:rsid w:val="1D20B414"/>
    <w:rsid w:val="1E1B140A"/>
    <w:rsid w:val="1F7F16AD"/>
    <w:rsid w:val="21C9D693"/>
    <w:rsid w:val="260BCA8E"/>
    <w:rsid w:val="261A79E1"/>
    <w:rsid w:val="26608E7B"/>
    <w:rsid w:val="27F609B9"/>
    <w:rsid w:val="28A56D01"/>
    <w:rsid w:val="2B7FA86C"/>
    <w:rsid w:val="2D8A9F95"/>
    <w:rsid w:val="2F7D2EF3"/>
    <w:rsid w:val="2FD5367D"/>
    <w:rsid w:val="301D5577"/>
    <w:rsid w:val="30E7279B"/>
    <w:rsid w:val="35552D9F"/>
    <w:rsid w:val="39235C2A"/>
    <w:rsid w:val="3B7B6441"/>
    <w:rsid w:val="414702C9"/>
    <w:rsid w:val="43D0CD93"/>
    <w:rsid w:val="44A936D2"/>
    <w:rsid w:val="44AEEE1A"/>
    <w:rsid w:val="47E66058"/>
    <w:rsid w:val="492794A7"/>
    <w:rsid w:val="4AD55B68"/>
    <w:rsid w:val="4BFBBF81"/>
    <w:rsid w:val="4C9CBB1A"/>
    <w:rsid w:val="4CE1542E"/>
    <w:rsid w:val="4CFB4921"/>
    <w:rsid w:val="4F733467"/>
    <w:rsid w:val="4FB926F2"/>
    <w:rsid w:val="510EB22A"/>
    <w:rsid w:val="541EA8C6"/>
    <w:rsid w:val="54B65B57"/>
    <w:rsid w:val="552191CE"/>
    <w:rsid w:val="5BD01C7E"/>
    <w:rsid w:val="62D1D3DB"/>
    <w:rsid w:val="6EA0955F"/>
    <w:rsid w:val="6F3B3561"/>
    <w:rsid w:val="7383BAE0"/>
    <w:rsid w:val="73DAFCE8"/>
    <w:rsid w:val="748A4DAF"/>
    <w:rsid w:val="7907A91C"/>
    <w:rsid w:val="7B55D06A"/>
    <w:rsid w:val="7CEB5A3F"/>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2ED340"/>
  <w15:chartTrackingRefBased/>
  <w15:docId w15:val="{02089FC9-3165-4B1C-B80F-CBEEEB70A9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color w:val="767171"/>
        <w:spacing w:val="20"/>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7F4E"/>
  </w:style>
  <w:style w:type="paragraph" w:styleId="Heading1">
    <w:name w:val="heading 1"/>
    <w:basedOn w:val="Normal"/>
    <w:next w:val="Normal"/>
    <w:link w:val="Heading1Char"/>
    <w:uiPriority w:val="9"/>
    <w:qFormat/>
    <w:rsid w:val="00654164"/>
    <w:pPr>
      <w:keepNext/>
      <w:keepLines/>
      <w:spacing w:before="240" w:after="0" w:line="360" w:lineRule="auto"/>
      <w:jc w:val="center"/>
      <w:outlineLvl w:val="0"/>
    </w:pPr>
    <w:rPr>
      <w:rFonts w:eastAsiaTheme="majorEastAsia" w:cstheme="majorBidi"/>
      <w:b/>
      <w:color w:val="767171" w:themeColor="background2" w:themeShade="80"/>
      <w:sz w:val="28"/>
      <w:szCs w:val="32"/>
    </w:rPr>
  </w:style>
  <w:style w:type="paragraph" w:styleId="Heading2">
    <w:name w:val="heading 2"/>
    <w:basedOn w:val="Normal"/>
    <w:next w:val="Normal"/>
    <w:link w:val="Heading2Char"/>
    <w:uiPriority w:val="9"/>
    <w:semiHidden/>
    <w:unhideWhenUsed/>
    <w:qFormat/>
    <w:rsid w:val="00A630BC"/>
    <w:pPr>
      <w:keepNext/>
      <w:keepLines/>
      <w:spacing w:before="40" w:after="0"/>
      <w:outlineLvl w:val="1"/>
    </w:pPr>
    <w:rPr>
      <w:rFonts w:eastAsiaTheme="majorEastAsia" w:cstheme="majorBidi"/>
      <w:color w:val="595959" w:themeColor="text1" w:themeTint="A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84651"/>
    <w:pPr>
      <w:tabs>
        <w:tab w:val="center" w:pos="4680"/>
        <w:tab w:val="right" w:pos="9360"/>
      </w:tabs>
      <w:spacing w:after="0" w:line="240" w:lineRule="auto"/>
    </w:pPr>
  </w:style>
  <w:style w:type="character" w:customStyle="1" w:styleId="HeaderChar">
    <w:name w:val="Header Char"/>
    <w:basedOn w:val="DefaultParagraphFont"/>
    <w:link w:val="Header"/>
    <w:uiPriority w:val="99"/>
    <w:rsid w:val="00E84651"/>
  </w:style>
  <w:style w:type="paragraph" w:styleId="Footer">
    <w:name w:val="footer"/>
    <w:basedOn w:val="Normal"/>
    <w:link w:val="FooterChar"/>
    <w:uiPriority w:val="99"/>
    <w:unhideWhenUsed/>
    <w:rsid w:val="00E84651"/>
    <w:pPr>
      <w:tabs>
        <w:tab w:val="center" w:pos="4680"/>
        <w:tab w:val="right" w:pos="9360"/>
      </w:tabs>
      <w:spacing w:after="0" w:line="240" w:lineRule="auto"/>
    </w:pPr>
  </w:style>
  <w:style w:type="character" w:customStyle="1" w:styleId="FooterChar">
    <w:name w:val="Footer Char"/>
    <w:basedOn w:val="DefaultParagraphFont"/>
    <w:link w:val="Footer"/>
    <w:uiPriority w:val="99"/>
    <w:rsid w:val="00E84651"/>
  </w:style>
  <w:style w:type="paragraph" w:styleId="NoSpacing">
    <w:name w:val="No Spacing"/>
    <w:uiPriority w:val="1"/>
    <w:qFormat/>
    <w:rsid w:val="005273D1"/>
    <w:pPr>
      <w:spacing w:after="0" w:line="240" w:lineRule="auto"/>
    </w:pPr>
    <w:rPr>
      <w:rFonts w:eastAsia="Calibri"/>
      <w:color w:val="595959" w:themeColor="text1" w:themeTint="A6"/>
    </w:rPr>
  </w:style>
  <w:style w:type="character" w:customStyle="1" w:styleId="Heading1Char">
    <w:name w:val="Heading 1 Char"/>
    <w:basedOn w:val="DefaultParagraphFont"/>
    <w:link w:val="Heading1"/>
    <w:uiPriority w:val="9"/>
    <w:rsid w:val="00654164"/>
    <w:rPr>
      <w:rFonts w:ascii="Times New Roman" w:eastAsiaTheme="majorEastAsia" w:hAnsi="Times New Roman" w:cstheme="majorBidi"/>
      <w:b/>
      <w:color w:val="767171" w:themeColor="background2" w:themeShade="80"/>
      <w:sz w:val="28"/>
      <w:szCs w:val="32"/>
    </w:rPr>
  </w:style>
  <w:style w:type="paragraph" w:styleId="TOCHeading">
    <w:name w:val="TOC Heading"/>
    <w:basedOn w:val="Heading1"/>
    <w:next w:val="Normal"/>
    <w:uiPriority w:val="39"/>
    <w:unhideWhenUsed/>
    <w:qFormat/>
    <w:rsid w:val="00BA2267"/>
    <w:pPr>
      <w:spacing w:line="259" w:lineRule="auto"/>
      <w:jc w:val="left"/>
      <w:outlineLvl w:val="9"/>
    </w:pPr>
    <w:rPr>
      <w:rFonts w:asciiTheme="majorHAnsi" w:hAnsiTheme="majorHAnsi"/>
      <w:b w:val="0"/>
      <w:color w:val="2F5496" w:themeColor="accent1" w:themeShade="BF"/>
      <w:sz w:val="32"/>
    </w:rPr>
  </w:style>
  <w:style w:type="paragraph" w:styleId="TOC1">
    <w:name w:val="toc 1"/>
    <w:basedOn w:val="Normal"/>
    <w:next w:val="Normal"/>
    <w:autoRedefine/>
    <w:uiPriority w:val="39"/>
    <w:unhideWhenUsed/>
    <w:rsid w:val="00CB0310"/>
    <w:pPr>
      <w:tabs>
        <w:tab w:val="right" w:leader="dot" w:pos="7910"/>
      </w:tabs>
      <w:spacing w:after="100"/>
    </w:pPr>
    <w:rPr>
      <w:rFonts w:eastAsiaTheme="majorEastAsia" w:cstheme="majorBidi"/>
      <w:b/>
      <w:bCs/>
      <w:noProof/>
      <w:lang w:val="es-DO"/>
    </w:rPr>
  </w:style>
  <w:style w:type="character" w:styleId="Hyperlink">
    <w:name w:val="Hyperlink"/>
    <w:basedOn w:val="DefaultParagraphFont"/>
    <w:uiPriority w:val="99"/>
    <w:unhideWhenUsed/>
    <w:rsid w:val="00BA2267"/>
    <w:rPr>
      <w:color w:val="0563C1" w:themeColor="hyperlink"/>
      <w:u w:val="single"/>
    </w:rPr>
  </w:style>
  <w:style w:type="character" w:customStyle="1" w:styleId="Heading2Char">
    <w:name w:val="Heading 2 Char"/>
    <w:basedOn w:val="DefaultParagraphFont"/>
    <w:link w:val="Heading2"/>
    <w:uiPriority w:val="9"/>
    <w:semiHidden/>
    <w:rsid w:val="00A630BC"/>
    <w:rPr>
      <w:rFonts w:eastAsiaTheme="majorEastAsia" w:cstheme="majorBidi"/>
      <w:color w:val="595959" w:themeColor="text1" w:themeTint="A6"/>
      <w:szCs w:val="26"/>
    </w:rPr>
  </w:style>
  <w:style w:type="paragraph" w:customStyle="1" w:styleId="Texto">
    <w:name w:val="Texto"/>
    <w:basedOn w:val="Normal"/>
    <w:link w:val="TextoChar"/>
    <w:autoRedefine/>
    <w:qFormat/>
    <w:rsid w:val="000946F8"/>
    <w:pPr>
      <w:spacing w:before="100" w:after="0" w:line="360" w:lineRule="auto"/>
      <w:jc w:val="both"/>
    </w:pPr>
    <w:rPr>
      <w:rFonts w:eastAsia="Calibri"/>
      <w:color w:val="FF0000"/>
      <w:spacing w:val="0"/>
      <w:szCs w:val="22"/>
      <w:lang w:val="es-ES"/>
    </w:rPr>
  </w:style>
  <w:style w:type="character" w:customStyle="1" w:styleId="TextoChar">
    <w:name w:val="Texto Char"/>
    <w:link w:val="Texto"/>
    <w:rsid w:val="000946F8"/>
    <w:rPr>
      <w:rFonts w:eastAsia="Calibri"/>
      <w:color w:val="FF0000"/>
      <w:spacing w:val="0"/>
      <w:szCs w:val="22"/>
      <w:lang w:val="es-ES"/>
    </w:rPr>
  </w:style>
  <w:style w:type="paragraph" w:customStyle="1" w:styleId="Default">
    <w:name w:val="Default"/>
    <w:rsid w:val="000946F8"/>
    <w:pPr>
      <w:autoSpaceDE w:val="0"/>
      <w:autoSpaceDN w:val="0"/>
      <w:adjustRightInd w:val="0"/>
      <w:spacing w:after="0" w:line="240" w:lineRule="auto"/>
    </w:pPr>
    <w:rPr>
      <w:rFonts w:ascii="Book Antiqua" w:hAnsi="Book Antiqua" w:cs="Book Antiqua"/>
      <w:color w:val="000000"/>
      <w:spacing w:val="0"/>
    </w:rPr>
  </w:style>
  <w:style w:type="paragraph" w:styleId="ListParagraph">
    <w:name w:val="List Paragraph"/>
    <w:aliases w:val="Compomente"/>
    <w:basedOn w:val="Normal"/>
    <w:link w:val="ListParagraphChar"/>
    <w:uiPriority w:val="34"/>
    <w:qFormat/>
    <w:rsid w:val="00D17C5C"/>
    <w:pPr>
      <w:spacing w:line="456" w:lineRule="auto"/>
      <w:ind w:left="720" w:firstLine="357"/>
      <w:contextualSpacing/>
      <w:jc w:val="both"/>
    </w:pPr>
    <w:rPr>
      <w:rFonts w:ascii="Artifex CF Extra Light" w:eastAsia="Calibri" w:hAnsi="Artifex CF Extra Light"/>
      <w:color w:val="1F4E79"/>
      <w:spacing w:val="0"/>
      <w:sz w:val="18"/>
      <w:szCs w:val="22"/>
      <w:lang w:val="es-DO"/>
    </w:rPr>
  </w:style>
  <w:style w:type="character" w:customStyle="1" w:styleId="ListParagraphChar">
    <w:name w:val="List Paragraph Char"/>
    <w:aliases w:val="Compomente Char"/>
    <w:link w:val="ListParagraph"/>
    <w:uiPriority w:val="34"/>
    <w:rsid w:val="00D17C5C"/>
    <w:rPr>
      <w:rFonts w:ascii="Artifex CF Extra Light" w:eastAsia="Calibri" w:hAnsi="Artifex CF Extra Light"/>
      <w:color w:val="1F4E79"/>
      <w:spacing w:val="0"/>
      <w:sz w:val="18"/>
      <w:szCs w:val="22"/>
      <w:lang w:val="es-DO"/>
    </w:rPr>
  </w:style>
  <w:style w:type="table" w:styleId="GridTable2-Accent5">
    <w:name w:val="Grid Table 2 Accent 5"/>
    <w:basedOn w:val="TableNormal"/>
    <w:uiPriority w:val="47"/>
    <w:rsid w:val="00295F77"/>
    <w:pPr>
      <w:spacing w:after="0" w:line="240" w:lineRule="auto"/>
    </w:pPr>
    <w:rPr>
      <w:rFonts w:asciiTheme="minorHAnsi" w:hAnsiTheme="minorHAnsi" w:cstheme="minorBidi"/>
      <w:color w:val="auto"/>
      <w:spacing w:val="0"/>
      <w:sz w:val="22"/>
      <w:szCs w:val="22"/>
      <w:lang w:val="es-DO"/>
    </w:r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NormalWeb">
    <w:name w:val="Normal (Web)"/>
    <w:basedOn w:val="Normal"/>
    <w:uiPriority w:val="99"/>
    <w:unhideWhenUsed/>
    <w:rsid w:val="00E82B86"/>
    <w:pPr>
      <w:spacing w:before="100" w:beforeAutospacing="1" w:after="100" w:afterAutospacing="1" w:line="240" w:lineRule="auto"/>
    </w:pPr>
    <w:rPr>
      <w:rFonts w:eastAsia="Times New Roman"/>
      <w:color w:val="auto"/>
      <w:spacing w:val="0"/>
      <w:lang w:val="es-DO"/>
    </w:rPr>
  </w:style>
  <w:style w:type="paragraph" w:styleId="CommentText">
    <w:name w:val="annotation text"/>
    <w:basedOn w:val="Normal"/>
    <w:link w:val="CommentTextChar"/>
    <w:uiPriority w:val="99"/>
    <w:unhideWhenUsed/>
    <w:rsid w:val="00E82B86"/>
    <w:pPr>
      <w:spacing w:line="240" w:lineRule="auto"/>
    </w:pPr>
    <w:rPr>
      <w:rFonts w:asciiTheme="minorHAnsi" w:hAnsiTheme="minorHAnsi" w:cstheme="minorBidi"/>
      <w:color w:val="auto"/>
      <w:spacing w:val="0"/>
      <w:sz w:val="20"/>
      <w:szCs w:val="20"/>
      <w:lang w:val="es-DO"/>
    </w:rPr>
  </w:style>
  <w:style w:type="character" w:customStyle="1" w:styleId="CommentTextChar">
    <w:name w:val="Comment Text Char"/>
    <w:basedOn w:val="DefaultParagraphFont"/>
    <w:link w:val="CommentText"/>
    <w:uiPriority w:val="99"/>
    <w:rsid w:val="00E82B86"/>
    <w:rPr>
      <w:rFonts w:asciiTheme="minorHAnsi" w:hAnsiTheme="minorHAnsi" w:cstheme="minorBidi"/>
      <w:color w:val="auto"/>
      <w:spacing w:val="0"/>
      <w:sz w:val="20"/>
      <w:szCs w:val="20"/>
      <w:lang w:val="es-DO"/>
    </w:rPr>
  </w:style>
  <w:style w:type="character" w:styleId="CommentReference">
    <w:name w:val="annotation reference"/>
    <w:basedOn w:val="DefaultParagraphFont"/>
    <w:uiPriority w:val="99"/>
    <w:semiHidden/>
    <w:unhideWhenUsed/>
    <w:rsid w:val="00E82B86"/>
    <w:rPr>
      <w:sz w:val="16"/>
      <w:szCs w:val="16"/>
    </w:rPr>
  </w:style>
  <w:style w:type="paragraph" w:styleId="Index1">
    <w:name w:val="index 1"/>
    <w:basedOn w:val="Normal"/>
    <w:next w:val="Normal"/>
    <w:autoRedefine/>
    <w:uiPriority w:val="99"/>
    <w:unhideWhenUsed/>
    <w:rsid w:val="00776592"/>
    <w:pPr>
      <w:tabs>
        <w:tab w:val="right" w:leader="dot" w:pos="7912"/>
      </w:tabs>
      <w:ind w:left="220" w:hanging="220"/>
    </w:pPr>
    <w:rPr>
      <w:rFonts w:ascii="ø" w:eastAsia="Calibri" w:hAnsi="ø" w:cs="Arial"/>
      <w:b/>
      <w:bCs/>
      <w:color w:val="003876"/>
      <w:spacing w:val="0"/>
      <w:sz w:val="16"/>
      <w:szCs w:val="16"/>
      <w:lang w:val="es-DO"/>
    </w:rPr>
  </w:style>
  <w:style w:type="paragraph" w:customStyle="1" w:styleId="xxmsonormal">
    <w:name w:val="x_x_msonormal"/>
    <w:basedOn w:val="Normal"/>
    <w:rsid w:val="003227C2"/>
    <w:pPr>
      <w:spacing w:after="0" w:line="240" w:lineRule="auto"/>
    </w:pPr>
    <w:rPr>
      <w:rFonts w:ascii="Calibri" w:hAnsi="Calibri" w:cs="Calibri"/>
      <w:color w:val="auto"/>
      <w:spacing w:val="0"/>
      <w:sz w:val="22"/>
      <w:szCs w:val="22"/>
      <w:lang w:val="es-DO" w:eastAsia="es-DO"/>
    </w:rPr>
  </w:style>
  <w:style w:type="table" w:styleId="TableGrid">
    <w:name w:val="Table Grid"/>
    <w:basedOn w:val="TableNormal"/>
    <w:uiPriority w:val="39"/>
    <w:rsid w:val="00E77853"/>
    <w:pPr>
      <w:spacing w:after="0" w:line="240" w:lineRule="auto"/>
    </w:pPr>
    <w:rPr>
      <w:rFonts w:asciiTheme="minorHAnsi" w:hAnsiTheme="minorHAnsi" w:cstheme="minorBidi"/>
      <w:color w:val="auto"/>
      <w:spacing w:val="0"/>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2030EE"/>
    <w:pPr>
      <w:spacing w:after="200" w:line="240" w:lineRule="auto"/>
      <w:ind w:right="-244"/>
      <w:jc w:val="both"/>
    </w:pPr>
    <w:rPr>
      <w:rFonts w:cstheme="minorBidi"/>
      <w:i/>
      <w:iCs/>
      <w:color w:val="44546A" w:themeColor="text2"/>
      <w:spacing w:val="0"/>
      <w:sz w:val="18"/>
      <w:szCs w:val="18"/>
      <w:lang w:val="es-ES"/>
    </w:rPr>
  </w:style>
  <w:style w:type="paragraph" w:styleId="FootnoteText">
    <w:name w:val="footnote text"/>
    <w:basedOn w:val="Normal"/>
    <w:link w:val="FootnoteTextChar"/>
    <w:uiPriority w:val="99"/>
    <w:semiHidden/>
    <w:unhideWhenUsed/>
    <w:rsid w:val="002030EE"/>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2030EE"/>
    <w:rPr>
      <w:sz w:val="20"/>
      <w:szCs w:val="20"/>
    </w:rPr>
  </w:style>
  <w:style w:type="character" w:styleId="FootnoteReference">
    <w:name w:val="footnote reference"/>
    <w:basedOn w:val="DefaultParagraphFont"/>
    <w:uiPriority w:val="99"/>
    <w:semiHidden/>
    <w:unhideWhenUsed/>
    <w:rsid w:val="002030EE"/>
    <w:rPr>
      <w:vertAlign w:val="superscript"/>
    </w:rPr>
  </w:style>
  <w:style w:type="table" w:styleId="GridTable5Dark-Accent1">
    <w:name w:val="Grid Table 5 Dark Accent 1"/>
    <w:basedOn w:val="TableNormal"/>
    <w:uiPriority w:val="50"/>
    <w:rsid w:val="002030EE"/>
    <w:pPr>
      <w:spacing w:after="0" w:line="240" w:lineRule="auto"/>
    </w:pPr>
    <w:rPr>
      <w:rFonts w:asciiTheme="minorHAnsi" w:hAnsiTheme="minorHAnsi" w:cstheme="minorBidi"/>
      <w:color w:val="auto"/>
      <w:spacing w:val="0"/>
      <w:kern w:val="2"/>
      <w:sz w:val="22"/>
      <w:szCs w:val="22"/>
      <w14:ligatures w14:val="standardContextu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Revision">
    <w:name w:val="Revision"/>
    <w:hidden/>
    <w:uiPriority w:val="99"/>
    <w:semiHidden/>
    <w:rsid w:val="002816F5"/>
    <w:pPr>
      <w:spacing w:after="0" w:line="240" w:lineRule="auto"/>
    </w:pPr>
  </w:style>
  <w:style w:type="paragraph" w:styleId="CommentSubject">
    <w:name w:val="annotation subject"/>
    <w:basedOn w:val="CommentText"/>
    <w:next w:val="CommentText"/>
    <w:link w:val="CommentSubjectChar"/>
    <w:uiPriority w:val="99"/>
    <w:semiHidden/>
    <w:unhideWhenUsed/>
    <w:rsid w:val="007F5225"/>
    <w:rPr>
      <w:rFonts w:ascii="Times New Roman" w:hAnsi="Times New Roman" w:cs="Times New Roman"/>
      <w:b/>
      <w:bCs/>
      <w:color w:val="767171"/>
      <w:spacing w:val="20"/>
      <w:lang w:val="en-US"/>
    </w:rPr>
  </w:style>
  <w:style w:type="character" w:customStyle="1" w:styleId="CommentSubjectChar">
    <w:name w:val="Comment Subject Char"/>
    <w:basedOn w:val="CommentTextChar"/>
    <w:link w:val="CommentSubject"/>
    <w:uiPriority w:val="99"/>
    <w:semiHidden/>
    <w:rsid w:val="007F5225"/>
    <w:rPr>
      <w:rFonts w:asciiTheme="minorHAnsi" w:hAnsiTheme="minorHAnsi" w:cstheme="minorBidi"/>
      <w:b/>
      <w:bCs/>
      <w:color w:val="auto"/>
      <w:spacing w:val="0"/>
      <w:sz w:val="20"/>
      <w:szCs w:val="20"/>
      <w:lang w:val="es-DO"/>
    </w:rPr>
  </w:style>
  <w:style w:type="character" w:customStyle="1" w:styleId="mw-page-title-main">
    <w:name w:val="mw-page-title-main"/>
    <w:basedOn w:val="DefaultParagraphFont"/>
    <w:rsid w:val="00690EA0"/>
  </w:style>
  <w:style w:type="paragraph" w:styleId="TOC2">
    <w:name w:val="toc 2"/>
    <w:basedOn w:val="Normal"/>
    <w:next w:val="Normal"/>
    <w:autoRedefine/>
    <w:uiPriority w:val="39"/>
    <w:unhideWhenUsed/>
    <w:rsid w:val="005C4045"/>
    <w:pPr>
      <w:spacing w:after="100" w:line="278" w:lineRule="auto"/>
      <w:ind w:left="240"/>
    </w:pPr>
    <w:rPr>
      <w:rFonts w:asciiTheme="minorHAnsi" w:eastAsiaTheme="minorEastAsia" w:hAnsiTheme="minorHAnsi" w:cstheme="minorBidi"/>
      <w:color w:val="auto"/>
      <w:spacing w:val="0"/>
      <w:kern w:val="2"/>
      <w14:ligatures w14:val="standardContextual"/>
    </w:rPr>
  </w:style>
  <w:style w:type="paragraph" w:styleId="TOC3">
    <w:name w:val="toc 3"/>
    <w:basedOn w:val="Normal"/>
    <w:next w:val="Normal"/>
    <w:autoRedefine/>
    <w:uiPriority w:val="39"/>
    <w:unhideWhenUsed/>
    <w:rsid w:val="005C4045"/>
    <w:pPr>
      <w:spacing w:after="100" w:line="278" w:lineRule="auto"/>
      <w:ind w:left="480"/>
    </w:pPr>
    <w:rPr>
      <w:rFonts w:asciiTheme="minorHAnsi" w:eastAsiaTheme="minorEastAsia" w:hAnsiTheme="minorHAnsi" w:cstheme="minorBidi"/>
      <w:color w:val="auto"/>
      <w:spacing w:val="0"/>
      <w:kern w:val="2"/>
      <w14:ligatures w14:val="standardContextual"/>
    </w:rPr>
  </w:style>
  <w:style w:type="paragraph" w:styleId="TOC4">
    <w:name w:val="toc 4"/>
    <w:basedOn w:val="Normal"/>
    <w:next w:val="Normal"/>
    <w:autoRedefine/>
    <w:uiPriority w:val="39"/>
    <w:unhideWhenUsed/>
    <w:rsid w:val="005C4045"/>
    <w:pPr>
      <w:spacing w:after="100" w:line="278" w:lineRule="auto"/>
      <w:ind w:left="720"/>
    </w:pPr>
    <w:rPr>
      <w:rFonts w:asciiTheme="minorHAnsi" w:eastAsiaTheme="minorEastAsia" w:hAnsiTheme="minorHAnsi" w:cstheme="minorBidi"/>
      <w:color w:val="auto"/>
      <w:spacing w:val="0"/>
      <w:kern w:val="2"/>
      <w14:ligatures w14:val="standardContextual"/>
    </w:rPr>
  </w:style>
  <w:style w:type="paragraph" w:styleId="TOC5">
    <w:name w:val="toc 5"/>
    <w:basedOn w:val="Normal"/>
    <w:next w:val="Normal"/>
    <w:autoRedefine/>
    <w:uiPriority w:val="39"/>
    <w:unhideWhenUsed/>
    <w:rsid w:val="005C4045"/>
    <w:pPr>
      <w:spacing w:after="100" w:line="278" w:lineRule="auto"/>
      <w:ind w:left="960"/>
    </w:pPr>
    <w:rPr>
      <w:rFonts w:asciiTheme="minorHAnsi" w:eastAsiaTheme="minorEastAsia" w:hAnsiTheme="minorHAnsi" w:cstheme="minorBidi"/>
      <w:color w:val="auto"/>
      <w:spacing w:val="0"/>
      <w:kern w:val="2"/>
      <w14:ligatures w14:val="standardContextual"/>
    </w:rPr>
  </w:style>
  <w:style w:type="paragraph" w:styleId="TOC6">
    <w:name w:val="toc 6"/>
    <w:basedOn w:val="Normal"/>
    <w:next w:val="Normal"/>
    <w:autoRedefine/>
    <w:uiPriority w:val="39"/>
    <w:unhideWhenUsed/>
    <w:rsid w:val="005C4045"/>
    <w:pPr>
      <w:spacing w:after="100" w:line="278" w:lineRule="auto"/>
      <w:ind w:left="1200"/>
    </w:pPr>
    <w:rPr>
      <w:rFonts w:asciiTheme="minorHAnsi" w:eastAsiaTheme="minorEastAsia" w:hAnsiTheme="minorHAnsi" w:cstheme="minorBidi"/>
      <w:color w:val="auto"/>
      <w:spacing w:val="0"/>
      <w:kern w:val="2"/>
      <w14:ligatures w14:val="standardContextual"/>
    </w:rPr>
  </w:style>
  <w:style w:type="paragraph" w:styleId="TOC7">
    <w:name w:val="toc 7"/>
    <w:basedOn w:val="Normal"/>
    <w:next w:val="Normal"/>
    <w:autoRedefine/>
    <w:uiPriority w:val="39"/>
    <w:unhideWhenUsed/>
    <w:rsid w:val="005C4045"/>
    <w:pPr>
      <w:spacing w:after="100" w:line="278" w:lineRule="auto"/>
      <w:ind w:left="1440"/>
    </w:pPr>
    <w:rPr>
      <w:rFonts w:asciiTheme="minorHAnsi" w:eastAsiaTheme="minorEastAsia" w:hAnsiTheme="minorHAnsi" w:cstheme="minorBidi"/>
      <w:color w:val="auto"/>
      <w:spacing w:val="0"/>
      <w:kern w:val="2"/>
      <w14:ligatures w14:val="standardContextual"/>
    </w:rPr>
  </w:style>
  <w:style w:type="paragraph" w:styleId="TOC8">
    <w:name w:val="toc 8"/>
    <w:basedOn w:val="Normal"/>
    <w:next w:val="Normal"/>
    <w:autoRedefine/>
    <w:uiPriority w:val="39"/>
    <w:unhideWhenUsed/>
    <w:rsid w:val="005C4045"/>
    <w:pPr>
      <w:spacing w:after="100" w:line="278" w:lineRule="auto"/>
      <w:ind w:left="1680"/>
    </w:pPr>
    <w:rPr>
      <w:rFonts w:asciiTheme="minorHAnsi" w:eastAsiaTheme="minorEastAsia" w:hAnsiTheme="minorHAnsi" w:cstheme="minorBidi"/>
      <w:color w:val="auto"/>
      <w:spacing w:val="0"/>
      <w:kern w:val="2"/>
      <w14:ligatures w14:val="standardContextual"/>
    </w:rPr>
  </w:style>
  <w:style w:type="paragraph" w:styleId="TOC9">
    <w:name w:val="toc 9"/>
    <w:basedOn w:val="Normal"/>
    <w:next w:val="Normal"/>
    <w:autoRedefine/>
    <w:uiPriority w:val="39"/>
    <w:unhideWhenUsed/>
    <w:rsid w:val="005C4045"/>
    <w:pPr>
      <w:spacing w:after="100" w:line="278" w:lineRule="auto"/>
      <w:ind w:left="1920"/>
    </w:pPr>
    <w:rPr>
      <w:rFonts w:asciiTheme="minorHAnsi" w:eastAsiaTheme="minorEastAsia" w:hAnsiTheme="minorHAnsi" w:cstheme="minorBidi"/>
      <w:color w:val="auto"/>
      <w:spacing w:val="0"/>
      <w:kern w:val="2"/>
      <w14:ligatures w14:val="standardContextual"/>
    </w:rPr>
  </w:style>
  <w:style w:type="character" w:styleId="UnresolvedMention">
    <w:name w:val="Unresolved Mention"/>
    <w:basedOn w:val="DefaultParagraphFont"/>
    <w:uiPriority w:val="99"/>
    <w:semiHidden/>
    <w:unhideWhenUsed/>
    <w:rsid w:val="005C4045"/>
    <w:rPr>
      <w:color w:val="605E5C"/>
      <w:shd w:val="clear" w:color="auto" w:fill="E1DFDD"/>
    </w:rPr>
  </w:style>
  <w:style w:type="table" w:customStyle="1" w:styleId="TableGrid1">
    <w:name w:val="Table Grid1"/>
    <w:basedOn w:val="TableNormal"/>
    <w:next w:val="TableGrid"/>
    <w:uiPriority w:val="39"/>
    <w:rsid w:val="006C03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link w:val="BodyChar"/>
    <w:qFormat/>
    <w:rsid w:val="004655D8"/>
    <w:pPr>
      <w:spacing w:after="240" w:line="360" w:lineRule="auto"/>
      <w:jc w:val="both"/>
    </w:pPr>
    <w:rPr>
      <w:rFonts w:ascii="Arial" w:eastAsia="Calibri" w:hAnsi="Arial" w:cs="Arial"/>
      <w:color w:val="00338D"/>
      <w:spacing w:val="0"/>
      <w:lang w:val="es-DO"/>
    </w:rPr>
  </w:style>
  <w:style w:type="character" w:customStyle="1" w:styleId="BodyChar">
    <w:name w:val="Body Char"/>
    <w:basedOn w:val="DefaultParagraphFont"/>
    <w:link w:val="Body"/>
    <w:rsid w:val="004655D8"/>
    <w:rPr>
      <w:rFonts w:ascii="Arial" w:eastAsia="Calibri" w:hAnsi="Arial" w:cs="Arial"/>
      <w:color w:val="00338D"/>
      <w:spacing w:val="0"/>
      <w:lang w:val="es-DO"/>
    </w:rPr>
  </w:style>
  <w:style w:type="character" w:customStyle="1" w:styleId="eop">
    <w:name w:val="eop"/>
    <w:basedOn w:val="DefaultParagraphFont"/>
    <w:rsid w:val="008016B9"/>
  </w:style>
  <w:style w:type="table" w:styleId="MediumGrid3-Accent5">
    <w:name w:val="Medium Grid 3 Accent 5"/>
    <w:basedOn w:val="TableNormal"/>
    <w:uiPriority w:val="69"/>
    <w:rsid w:val="00EF5D3F"/>
    <w:pPr>
      <w:spacing w:after="0" w:line="240" w:lineRule="auto"/>
    </w:pPr>
    <w:rPr>
      <w:rFonts w:asciiTheme="minorHAnsi" w:eastAsiaTheme="minorEastAsia" w:hAnsiTheme="minorHAnsi" w:cstheme="minorBidi"/>
      <w:color w:val="auto"/>
      <w:spacing w:val="0"/>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character" w:styleId="Strong">
    <w:name w:val="Strong"/>
    <w:basedOn w:val="DefaultParagraphFont"/>
    <w:uiPriority w:val="22"/>
    <w:qFormat/>
    <w:rsid w:val="00EF5D3F"/>
    <w:rPr>
      <w:b/>
      <w:bCs/>
    </w:rPr>
  </w:style>
  <w:style w:type="table" w:customStyle="1" w:styleId="TableGrid2">
    <w:name w:val="Table Grid2"/>
    <w:basedOn w:val="TableNormal"/>
    <w:next w:val="TableGrid"/>
    <w:uiPriority w:val="39"/>
    <w:rsid w:val="00CB11EA"/>
    <w:pPr>
      <w:spacing w:after="0" w:line="240" w:lineRule="auto"/>
    </w:pPr>
    <w:rPr>
      <w:rFonts w:asciiTheme="minorHAnsi" w:hAnsiTheme="minorHAnsi" w:cstheme="minorBidi"/>
      <w:color w:val="auto"/>
      <w:spacing w:val="0"/>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lementtoproof">
    <w:name w:val="elementtoproof"/>
    <w:basedOn w:val="Normal"/>
    <w:uiPriority w:val="99"/>
    <w:semiHidden/>
    <w:rsid w:val="0076370C"/>
    <w:pPr>
      <w:spacing w:after="0" w:line="240" w:lineRule="auto"/>
    </w:pPr>
    <w:rPr>
      <w:rFonts w:ascii="Calibri" w:hAnsi="Calibri" w:cs="Calibri"/>
      <w:color w:val="auto"/>
      <w:spacing w:val="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563840">
      <w:bodyDiv w:val="1"/>
      <w:marLeft w:val="0"/>
      <w:marRight w:val="0"/>
      <w:marTop w:val="0"/>
      <w:marBottom w:val="0"/>
      <w:divBdr>
        <w:top w:val="none" w:sz="0" w:space="0" w:color="auto"/>
        <w:left w:val="none" w:sz="0" w:space="0" w:color="auto"/>
        <w:bottom w:val="none" w:sz="0" w:space="0" w:color="auto"/>
        <w:right w:val="none" w:sz="0" w:space="0" w:color="auto"/>
      </w:divBdr>
    </w:div>
    <w:div w:id="281157602">
      <w:bodyDiv w:val="1"/>
      <w:marLeft w:val="0"/>
      <w:marRight w:val="0"/>
      <w:marTop w:val="0"/>
      <w:marBottom w:val="0"/>
      <w:divBdr>
        <w:top w:val="none" w:sz="0" w:space="0" w:color="auto"/>
        <w:left w:val="none" w:sz="0" w:space="0" w:color="auto"/>
        <w:bottom w:val="none" w:sz="0" w:space="0" w:color="auto"/>
        <w:right w:val="none" w:sz="0" w:space="0" w:color="auto"/>
      </w:divBdr>
    </w:div>
    <w:div w:id="306859052">
      <w:bodyDiv w:val="1"/>
      <w:marLeft w:val="0"/>
      <w:marRight w:val="0"/>
      <w:marTop w:val="0"/>
      <w:marBottom w:val="0"/>
      <w:divBdr>
        <w:top w:val="none" w:sz="0" w:space="0" w:color="auto"/>
        <w:left w:val="none" w:sz="0" w:space="0" w:color="auto"/>
        <w:bottom w:val="none" w:sz="0" w:space="0" w:color="auto"/>
        <w:right w:val="none" w:sz="0" w:space="0" w:color="auto"/>
      </w:divBdr>
    </w:div>
    <w:div w:id="377820065">
      <w:bodyDiv w:val="1"/>
      <w:marLeft w:val="0"/>
      <w:marRight w:val="0"/>
      <w:marTop w:val="0"/>
      <w:marBottom w:val="0"/>
      <w:divBdr>
        <w:top w:val="none" w:sz="0" w:space="0" w:color="auto"/>
        <w:left w:val="none" w:sz="0" w:space="0" w:color="auto"/>
        <w:bottom w:val="none" w:sz="0" w:space="0" w:color="auto"/>
        <w:right w:val="none" w:sz="0" w:space="0" w:color="auto"/>
      </w:divBdr>
    </w:div>
    <w:div w:id="478964824">
      <w:bodyDiv w:val="1"/>
      <w:marLeft w:val="0"/>
      <w:marRight w:val="0"/>
      <w:marTop w:val="0"/>
      <w:marBottom w:val="0"/>
      <w:divBdr>
        <w:top w:val="none" w:sz="0" w:space="0" w:color="auto"/>
        <w:left w:val="none" w:sz="0" w:space="0" w:color="auto"/>
        <w:bottom w:val="none" w:sz="0" w:space="0" w:color="auto"/>
        <w:right w:val="none" w:sz="0" w:space="0" w:color="auto"/>
      </w:divBdr>
    </w:div>
    <w:div w:id="528839531">
      <w:bodyDiv w:val="1"/>
      <w:marLeft w:val="0"/>
      <w:marRight w:val="0"/>
      <w:marTop w:val="0"/>
      <w:marBottom w:val="0"/>
      <w:divBdr>
        <w:top w:val="none" w:sz="0" w:space="0" w:color="auto"/>
        <w:left w:val="none" w:sz="0" w:space="0" w:color="auto"/>
        <w:bottom w:val="none" w:sz="0" w:space="0" w:color="auto"/>
        <w:right w:val="none" w:sz="0" w:space="0" w:color="auto"/>
      </w:divBdr>
    </w:div>
    <w:div w:id="593782041">
      <w:bodyDiv w:val="1"/>
      <w:marLeft w:val="0"/>
      <w:marRight w:val="0"/>
      <w:marTop w:val="0"/>
      <w:marBottom w:val="0"/>
      <w:divBdr>
        <w:top w:val="none" w:sz="0" w:space="0" w:color="auto"/>
        <w:left w:val="none" w:sz="0" w:space="0" w:color="auto"/>
        <w:bottom w:val="none" w:sz="0" w:space="0" w:color="auto"/>
        <w:right w:val="none" w:sz="0" w:space="0" w:color="auto"/>
      </w:divBdr>
    </w:div>
    <w:div w:id="624309162">
      <w:bodyDiv w:val="1"/>
      <w:marLeft w:val="0"/>
      <w:marRight w:val="0"/>
      <w:marTop w:val="0"/>
      <w:marBottom w:val="0"/>
      <w:divBdr>
        <w:top w:val="none" w:sz="0" w:space="0" w:color="auto"/>
        <w:left w:val="none" w:sz="0" w:space="0" w:color="auto"/>
        <w:bottom w:val="none" w:sz="0" w:space="0" w:color="auto"/>
        <w:right w:val="none" w:sz="0" w:space="0" w:color="auto"/>
      </w:divBdr>
    </w:div>
    <w:div w:id="669525291">
      <w:bodyDiv w:val="1"/>
      <w:marLeft w:val="0"/>
      <w:marRight w:val="0"/>
      <w:marTop w:val="0"/>
      <w:marBottom w:val="0"/>
      <w:divBdr>
        <w:top w:val="none" w:sz="0" w:space="0" w:color="auto"/>
        <w:left w:val="none" w:sz="0" w:space="0" w:color="auto"/>
        <w:bottom w:val="none" w:sz="0" w:space="0" w:color="auto"/>
        <w:right w:val="none" w:sz="0" w:space="0" w:color="auto"/>
      </w:divBdr>
    </w:div>
    <w:div w:id="716779908">
      <w:bodyDiv w:val="1"/>
      <w:marLeft w:val="0"/>
      <w:marRight w:val="0"/>
      <w:marTop w:val="0"/>
      <w:marBottom w:val="0"/>
      <w:divBdr>
        <w:top w:val="none" w:sz="0" w:space="0" w:color="auto"/>
        <w:left w:val="none" w:sz="0" w:space="0" w:color="auto"/>
        <w:bottom w:val="none" w:sz="0" w:space="0" w:color="auto"/>
        <w:right w:val="none" w:sz="0" w:space="0" w:color="auto"/>
      </w:divBdr>
    </w:div>
    <w:div w:id="744062667">
      <w:bodyDiv w:val="1"/>
      <w:marLeft w:val="0"/>
      <w:marRight w:val="0"/>
      <w:marTop w:val="0"/>
      <w:marBottom w:val="0"/>
      <w:divBdr>
        <w:top w:val="none" w:sz="0" w:space="0" w:color="auto"/>
        <w:left w:val="none" w:sz="0" w:space="0" w:color="auto"/>
        <w:bottom w:val="none" w:sz="0" w:space="0" w:color="auto"/>
        <w:right w:val="none" w:sz="0" w:space="0" w:color="auto"/>
      </w:divBdr>
    </w:div>
    <w:div w:id="750738072">
      <w:bodyDiv w:val="1"/>
      <w:marLeft w:val="0"/>
      <w:marRight w:val="0"/>
      <w:marTop w:val="0"/>
      <w:marBottom w:val="0"/>
      <w:divBdr>
        <w:top w:val="none" w:sz="0" w:space="0" w:color="auto"/>
        <w:left w:val="none" w:sz="0" w:space="0" w:color="auto"/>
        <w:bottom w:val="none" w:sz="0" w:space="0" w:color="auto"/>
        <w:right w:val="none" w:sz="0" w:space="0" w:color="auto"/>
      </w:divBdr>
    </w:div>
    <w:div w:id="843514430">
      <w:bodyDiv w:val="1"/>
      <w:marLeft w:val="0"/>
      <w:marRight w:val="0"/>
      <w:marTop w:val="0"/>
      <w:marBottom w:val="0"/>
      <w:divBdr>
        <w:top w:val="none" w:sz="0" w:space="0" w:color="auto"/>
        <w:left w:val="none" w:sz="0" w:space="0" w:color="auto"/>
        <w:bottom w:val="none" w:sz="0" w:space="0" w:color="auto"/>
        <w:right w:val="none" w:sz="0" w:space="0" w:color="auto"/>
      </w:divBdr>
    </w:div>
    <w:div w:id="914777375">
      <w:bodyDiv w:val="1"/>
      <w:marLeft w:val="0"/>
      <w:marRight w:val="0"/>
      <w:marTop w:val="0"/>
      <w:marBottom w:val="0"/>
      <w:divBdr>
        <w:top w:val="none" w:sz="0" w:space="0" w:color="auto"/>
        <w:left w:val="none" w:sz="0" w:space="0" w:color="auto"/>
        <w:bottom w:val="none" w:sz="0" w:space="0" w:color="auto"/>
        <w:right w:val="none" w:sz="0" w:space="0" w:color="auto"/>
      </w:divBdr>
    </w:div>
    <w:div w:id="1002900239">
      <w:bodyDiv w:val="1"/>
      <w:marLeft w:val="0"/>
      <w:marRight w:val="0"/>
      <w:marTop w:val="0"/>
      <w:marBottom w:val="0"/>
      <w:divBdr>
        <w:top w:val="none" w:sz="0" w:space="0" w:color="auto"/>
        <w:left w:val="none" w:sz="0" w:space="0" w:color="auto"/>
        <w:bottom w:val="none" w:sz="0" w:space="0" w:color="auto"/>
        <w:right w:val="none" w:sz="0" w:space="0" w:color="auto"/>
      </w:divBdr>
    </w:div>
    <w:div w:id="1134910720">
      <w:bodyDiv w:val="1"/>
      <w:marLeft w:val="0"/>
      <w:marRight w:val="0"/>
      <w:marTop w:val="0"/>
      <w:marBottom w:val="0"/>
      <w:divBdr>
        <w:top w:val="none" w:sz="0" w:space="0" w:color="auto"/>
        <w:left w:val="none" w:sz="0" w:space="0" w:color="auto"/>
        <w:bottom w:val="none" w:sz="0" w:space="0" w:color="auto"/>
        <w:right w:val="none" w:sz="0" w:space="0" w:color="auto"/>
      </w:divBdr>
    </w:div>
    <w:div w:id="1188759310">
      <w:bodyDiv w:val="1"/>
      <w:marLeft w:val="0"/>
      <w:marRight w:val="0"/>
      <w:marTop w:val="0"/>
      <w:marBottom w:val="0"/>
      <w:divBdr>
        <w:top w:val="none" w:sz="0" w:space="0" w:color="auto"/>
        <w:left w:val="none" w:sz="0" w:space="0" w:color="auto"/>
        <w:bottom w:val="none" w:sz="0" w:space="0" w:color="auto"/>
        <w:right w:val="none" w:sz="0" w:space="0" w:color="auto"/>
      </w:divBdr>
    </w:div>
    <w:div w:id="1216357318">
      <w:bodyDiv w:val="1"/>
      <w:marLeft w:val="0"/>
      <w:marRight w:val="0"/>
      <w:marTop w:val="0"/>
      <w:marBottom w:val="0"/>
      <w:divBdr>
        <w:top w:val="none" w:sz="0" w:space="0" w:color="auto"/>
        <w:left w:val="none" w:sz="0" w:space="0" w:color="auto"/>
        <w:bottom w:val="none" w:sz="0" w:space="0" w:color="auto"/>
        <w:right w:val="none" w:sz="0" w:space="0" w:color="auto"/>
      </w:divBdr>
    </w:div>
    <w:div w:id="1222903524">
      <w:bodyDiv w:val="1"/>
      <w:marLeft w:val="0"/>
      <w:marRight w:val="0"/>
      <w:marTop w:val="0"/>
      <w:marBottom w:val="0"/>
      <w:divBdr>
        <w:top w:val="none" w:sz="0" w:space="0" w:color="auto"/>
        <w:left w:val="none" w:sz="0" w:space="0" w:color="auto"/>
        <w:bottom w:val="none" w:sz="0" w:space="0" w:color="auto"/>
        <w:right w:val="none" w:sz="0" w:space="0" w:color="auto"/>
      </w:divBdr>
    </w:div>
    <w:div w:id="1634746350">
      <w:bodyDiv w:val="1"/>
      <w:marLeft w:val="0"/>
      <w:marRight w:val="0"/>
      <w:marTop w:val="0"/>
      <w:marBottom w:val="0"/>
      <w:divBdr>
        <w:top w:val="none" w:sz="0" w:space="0" w:color="auto"/>
        <w:left w:val="none" w:sz="0" w:space="0" w:color="auto"/>
        <w:bottom w:val="none" w:sz="0" w:space="0" w:color="auto"/>
        <w:right w:val="none" w:sz="0" w:space="0" w:color="auto"/>
      </w:divBdr>
    </w:div>
    <w:div w:id="1653675969">
      <w:bodyDiv w:val="1"/>
      <w:marLeft w:val="0"/>
      <w:marRight w:val="0"/>
      <w:marTop w:val="0"/>
      <w:marBottom w:val="0"/>
      <w:divBdr>
        <w:top w:val="none" w:sz="0" w:space="0" w:color="auto"/>
        <w:left w:val="none" w:sz="0" w:space="0" w:color="auto"/>
        <w:bottom w:val="none" w:sz="0" w:space="0" w:color="auto"/>
        <w:right w:val="none" w:sz="0" w:space="0" w:color="auto"/>
      </w:divBdr>
    </w:div>
    <w:div w:id="1672416305">
      <w:bodyDiv w:val="1"/>
      <w:marLeft w:val="0"/>
      <w:marRight w:val="0"/>
      <w:marTop w:val="0"/>
      <w:marBottom w:val="0"/>
      <w:divBdr>
        <w:top w:val="none" w:sz="0" w:space="0" w:color="auto"/>
        <w:left w:val="none" w:sz="0" w:space="0" w:color="auto"/>
        <w:bottom w:val="none" w:sz="0" w:space="0" w:color="auto"/>
        <w:right w:val="none" w:sz="0" w:space="0" w:color="auto"/>
      </w:divBdr>
    </w:div>
    <w:div w:id="1721782748">
      <w:bodyDiv w:val="1"/>
      <w:marLeft w:val="0"/>
      <w:marRight w:val="0"/>
      <w:marTop w:val="0"/>
      <w:marBottom w:val="0"/>
      <w:divBdr>
        <w:top w:val="none" w:sz="0" w:space="0" w:color="auto"/>
        <w:left w:val="none" w:sz="0" w:space="0" w:color="auto"/>
        <w:bottom w:val="none" w:sz="0" w:space="0" w:color="auto"/>
        <w:right w:val="none" w:sz="0" w:space="0" w:color="auto"/>
      </w:divBdr>
    </w:div>
    <w:div w:id="1811826703">
      <w:bodyDiv w:val="1"/>
      <w:marLeft w:val="0"/>
      <w:marRight w:val="0"/>
      <w:marTop w:val="0"/>
      <w:marBottom w:val="0"/>
      <w:divBdr>
        <w:top w:val="none" w:sz="0" w:space="0" w:color="auto"/>
        <w:left w:val="none" w:sz="0" w:space="0" w:color="auto"/>
        <w:bottom w:val="none" w:sz="0" w:space="0" w:color="auto"/>
        <w:right w:val="none" w:sz="0" w:space="0" w:color="auto"/>
      </w:divBdr>
    </w:div>
    <w:div w:id="1856848288">
      <w:bodyDiv w:val="1"/>
      <w:marLeft w:val="0"/>
      <w:marRight w:val="0"/>
      <w:marTop w:val="0"/>
      <w:marBottom w:val="0"/>
      <w:divBdr>
        <w:top w:val="none" w:sz="0" w:space="0" w:color="auto"/>
        <w:left w:val="none" w:sz="0" w:space="0" w:color="auto"/>
        <w:bottom w:val="none" w:sz="0" w:space="0" w:color="auto"/>
        <w:right w:val="none" w:sz="0" w:space="0" w:color="auto"/>
      </w:divBdr>
    </w:div>
    <w:div w:id="1871533335">
      <w:bodyDiv w:val="1"/>
      <w:marLeft w:val="0"/>
      <w:marRight w:val="0"/>
      <w:marTop w:val="0"/>
      <w:marBottom w:val="0"/>
      <w:divBdr>
        <w:top w:val="none" w:sz="0" w:space="0" w:color="auto"/>
        <w:left w:val="none" w:sz="0" w:space="0" w:color="auto"/>
        <w:bottom w:val="none" w:sz="0" w:space="0" w:color="auto"/>
        <w:right w:val="none" w:sz="0" w:space="0" w:color="auto"/>
      </w:divBdr>
    </w:div>
    <w:div w:id="1945502305">
      <w:bodyDiv w:val="1"/>
      <w:marLeft w:val="0"/>
      <w:marRight w:val="0"/>
      <w:marTop w:val="0"/>
      <w:marBottom w:val="0"/>
      <w:divBdr>
        <w:top w:val="none" w:sz="0" w:space="0" w:color="auto"/>
        <w:left w:val="none" w:sz="0" w:space="0" w:color="auto"/>
        <w:bottom w:val="none" w:sz="0" w:space="0" w:color="auto"/>
        <w:right w:val="none" w:sz="0" w:space="0" w:color="auto"/>
      </w:divBdr>
    </w:div>
    <w:div w:id="1967927041">
      <w:bodyDiv w:val="1"/>
      <w:marLeft w:val="0"/>
      <w:marRight w:val="0"/>
      <w:marTop w:val="0"/>
      <w:marBottom w:val="0"/>
      <w:divBdr>
        <w:top w:val="none" w:sz="0" w:space="0" w:color="auto"/>
        <w:left w:val="none" w:sz="0" w:space="0" w:color="auto"/>
        <w:bottom w:val="none" w:sz="0" w:space="0" w:color="auto"/>
        <w:right w:val="none" w:sz="0" w:space="0" w:color="auto"/>
      </w:divBdr>
    </w:div>
    <w:div w:id="2005623109">
      <w:bodyDiv w:val="1"/>
      <w:marLeft w:val="0"/>
      <w:marRight w:val="0"/>
      <w:marTop w:val="0"/>
      <w:marBottom w:val="0"/>
      <w:divBdr>
        <w:top w:val="none" w:sz="0" w:space="0" w:color="auto"/>
        <w:left w:val="none" w:sz="0" w:space="0" w:color="auto"/>
        <w:bottom w:val="none" w:sz="0" w:space="0" w:color="auto"/>
        <w:right w:val="none" w:sz="0" w:space="0" w:color="auto"/>
      </w:divBdr>
    </w:div>
    <w:div w:id="2050375309">
      <w:bodyDiv w:val="1"/>
      <w:marLeft w:val="0"/>
      <w:marRight w:val="0"/>
      <w:marTop w:val="0"/>
      <w:marBottom w:val="0"/>
      <w:divBdr>
        <w:top w:val="none" w:sz="0" w:space="0" w:color="auto"/>
        <w:left w:val="none" w:sz="0" w:space="0" w:color="auto"/>
        <w:bottom w:val="none" w:sz="0" w:space="0" w:color="auto"/>
        <w:right w:val="none" w:sz="0" w:space="0" w:color="auto"/>
      </w:divBdr>
    </w:div>
    <w:div w:id="2125683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oter" Target="footer2.xml"/><Relationship Id="rId26" Type="http://schemas.openxmlformats.org/officeDocument/2006/relationships/chart" Target="charts/chart3.xml"/><Relationship Id="rId39" Type="http://schemas.openxmlformats.org/officeDocument/2006/relationships/chart" Target="charts/chart15.xml"/><Relationship Id="rId21" Type="http://schemas.openxmlformats.org/officeDocument/2006/relationships/chart" Target="charts/chart1.xml"/><Relationship Id="rId34" Type="http://schemas.openxmlformats.org/officeDocument/2006/relationships/chart" Target="charts/chart10.xml"/><Relationship Id="rId42" Type="http://schemas.openxmlformats.org/officeDocument/2006/relationships/chart" Target="charts/chart18.xml"/><Relationship Id="rId47" Type="http://schemas.openxmlformats.org/officeDocument/2006/relationships/chart" Target="charts/chart23.xml"/><Relationship Id="rId50" Type="http://schemas.openxmlformats.org/officeDocument/2006/relationships/hyperlink" Target="http://sisticge.dominicana.gob.do/dashboard.php" TargetMode="External"/><Relationship Id="rId55" Type="http://schemas.openxmlformats.org/officeDocument/2006/relationships/image" Target="media/image12.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tss.gob.do/assets/regla_srl_v2.pdf" TargetMode="External"/><Relationship Id="rId29" Type="http://schemas.openxmlformats.org/officeDocument/2006/relationships/chart" Target="charts/chart6.xml"/><Relationship Id="rId11" Type="http://schemas.openxmlformats.org/officeDocument/2006/relationships/image" Target="media/image1.png"/><Relationship Id="rId24" Type="http://schemas.openxmlformats.org/officeDocument/2006/relationships/chart" Target="charts/chart2.xml"/><Relationship Id="rId32" Type="http://schemas.openxmlformats.org/officeDocument/2006/relationships/chart" Target="charts/chart9.xml"/><Relationship Id="rId37" Type="http://schemas.openxmlformats.org/officeDocument/2006/relationships/chart" Target="charts/chart13.xml"/><Relationship Id="rId40" Type="http://schemas.openxmlformats.org/officeDocument/2006/relationships/chart" Target="charts/chart16.xml"/><Relationship Id="rId45" Type="http://schemas.openxmlformats.org/officeDocument/2006/relationships/chart" Target="charts/chart21.xml"/><Relationship Id="rId53" Type="http://schemas.openxmlformats.org/officeDocument/2006/relationships/chart" Target="charts/chart25.xml"/><Relationship Id="rId58" Type="http://schemas.openxmlformats.org/officeDocument/2006/relationships/chart" Target="charts/chart26.xml"/><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image" Target="media/image5.png"/><Relationship Id="rId14" Type="http://schemas.openxmlformats.org/officeDocument/2006/relationships/image" Target="media/image4.png"/><Relationship Id="rId22" Type="http://schemas.openxmlformats.org/officeDocument/2006/relationships/image" Target="media/image7.png"/><Relationship Id="rId27" Type="http://schemas.openxmlformats.org/officeDocument/2006/relationships/chart" Target="charts/chart4.xml"/><Relationship Id="rId30" Type="http://schemas.openxmlformats.org/officeDocument/2006/relationships/chart" Target="charts/chart7.xml"/><Relationship Id="rId35" Type="http://schemas.openxmlformats.org/officeDocument/2006/relationships/chart" Target="charts/chart11.xml"/><Relationship Id="rId43" Type="http://schemas.openxmlformats.org/officeDocument/2006/relationships/chart" Target="charts/chart19.xml"/><Relationship Id="rId48" Type="http://schemas.openxmlformats.org/officeDocument/2006/relationships/hyperlink" Target="https://nam12.safelinks.protection.outlook.com/?url=https%3A%2F%2Feldinero.com.do%2F321852%2Fsector-publico-evita-deficit-de-cuenta-de-salud-en-la-tss%2F&amp;data=05%7C02%7CAdelaida_Bautista%40tss.gob.do%7C46bc5a68a31a40880cec08ddcf699721%7C658f31f489b142e0bacef319040dfdf9%7C0%7C0%7C638894774622532629%7CUnknown%7CTWFpbGZsb3d8eyJFbXB0eU1hcGkiOnRydWUsIlYiOiIwLjAuMDAwMCIsIlAiOiJXaW4zMiIsIkFOIjoiTWFpbCIsIldUIjoyfQ%3D%3D%7C0%7C%7C%7C&amp;sdata=2funGLA7G%2Fek6TqUoOVpoYoTqSrnD3nAICM4Q7q6Mcc%3D&amp;reserved=0" TargetMode="External"/><Relationship Id="rId56" Type="http://schemas.openxmlformats.org/officeDocument/2006/relationships/image" Target="media/image13.png"/><Relationship Id="rId8" Type="http://schemas.openxmlformats.org/officeDocument/2006/relationships/webSettings" Target="webSettings.xml"/><Relationship Id="rId51" Type="http://schemas.openxmlformats.org/officeDocument/2006/relationships/image" Target="media/image10.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1.xml"/><Relationship Id="rId25" Type="http://schemas.openxmlformats.org/officeDocument/2006/relationships/footer" Target="footer3.xml"/><Relationship Id="rId33" Type="http://schemas.openxmlformats.org/officeDocument/2006/relationships/image" Target="media/image9.png"/><Relationship Id="rId38" Type="http://schemas.openxmlformats.org/officeDocument/2006/relationships/chart" Target="charts/chart14.xml"/><Relationship Id="rId46" Type="http://schemas.openxmlformats.org/officeDocument/2006/relationships/chart" Target="charts/chart22.xml"/><Relationship Id="rId59" Type="http://schemas.openxmlformats.org/officeDocument/2006/relationships/footer" Target="footer4.xml"/><Relationship Id="rId20" Type="http://schemas.openxmlformats.org/officeDocument/2006/relationships/image" Target="media/image6.png"/><Relationship Id="rId41" Type="http://schemas.openxmlformats.org/officeDocument/2006/relationships/chart" Target="charts/chart17.xml"/><Relationship Id="rId54"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chart" Target="charts/chart5.xml"/><Relationship Id="rId36" Type="http://schemas.openxmlformats.org/officeDocument/2006/relationships/chart" Target="charts/chart12.xml"/><Relationship Id="rId49" Type="http://schemas.openxmlformats.org/officeDocument/2006/relationships/hyperlink" Target="https://nam12.safelinks.protection.outlook.com/?url=https%3A%2F%2Feldia.com.do%2Fseguridad-social-la-tss-el-gigante-recaudador%2F&amp;data=05%7C02%7CAdelaida_Bautista%40tss.gob.do%7C46bc5a68a31a40880cec08ddcf699721%7C658f31f489b142e0bacef319040dfdf9%7C0%7C0%7C638894774622558811%7CUnknown%7CTWFpbGZsb3d8eyJFbXB0eU1hcGkiOnRydWUsIlYiOiIwLjAuMDAwMCIsIlAiOiJXaW4zMiIsIkFOIjoiTWFpbCIsIldUIjoyfQ%3D%3D%7C0%7C%7C%7C&amp;sdata=sIeZcrsyGzXUhCEPT4Fv7qN7VrQZWV4RksZceBb4FEk%3D&amp;reserved=0" TargetMode="External"/><Relationship Id="rId57" Type="http://schemas.openxmlformats.org/officeDocument/2006/relationships/image" Target="media/image14.png"/><Relationship Id="rId10" Type="http://schemas.openxmlformats.org/officeDocument/2006/relationships/endnotes" Target="endnotes.xml"/><Relationship Id="rId31" Type="http://schemas.openxmlformats.org/officeDocument/2006/relationships/chart" Target="charts/chart8.xml"/><Relationship Id="rId44" Type="http://schemas.openxmlformats.org/officeDocument/2006/relationships/chart" Target="charts/chart20.xml"/><Relationship Id="rId52" Type="http://schemas.openxmlformats.org/officeDocument/2006/relationships/chart" Target="charts/chart24.xml"/><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footer3.xml.rels><?xml version="1.0" encoding="UTF-8" standalone="yes"?>
<Relationships xmlns="http://schemas.openxmlformats.org/package/2006/relationships"><Relationship Id="rId1" Type="http://schemas.openxmlformats.org/officeDocument/2006/relationships/image" Target="media/image4.jpeg"/></Relationships>
</file>

<file path=word/_rels/footer4.xml.rels><?xml version="1.0" encoding="UTF-8" standalone="yes"?>
<Relationships xmlns="http://schemas.openxmlformats.org/package/2006/relationships"><Relationship Id="rId1" Type="http://schemas.openxmlformats.org/officeDocument/2006/relationships/image" Target="media/image15.png"/></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file:///C:\Users\richard_lion\Desktop\Procesos%20adjudicados%20al%2014%20noviembre%202025.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xlsx"/></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leticia_piccirillo\Downloads\Movimientos_Personal.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6.xlsx"/></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file:///\\falken\Continuidad%20TIC\Martina\ESTADISTICAS%20DISPONIBILIDAD%20E%20INCIDENTES%20SUIR\Estadistica%20Disponibilidad%20Suir\2025\DISPONIBILIDAD%20SUIR%20Enero%20-Diciembre%20%202025.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1.xm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Worksheet8.xlsx"/></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package" Target="../embeddings/Microsoft_Excel_Worksheet10.xlsx"/></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package" Target="../embeddings/Microsoft_Excel_Worksheet12.xlsx"/></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3.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DO" sz="1200">
                <a:latin typeface="Times New Roman" panose="02020603050405020304" pitchFamily="18" charset="0"/>
                <a:cs typeface="Times New Roman" panose="02020603050405020304" pitchFamily="18" charset="0"/>
              </a:rPr>
              <a:t>NOTIFICACIONES DE PAGO POR AUDITORIA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DO"/>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hade val="76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8A6B-4467-8CE2-99C240D18696}"/>
              </c:ext>
            </c:extLst>
          </c:dPt>
          <c:dPt>
            <c:idx val="1"/>
            <c:bubble3D val="0"/>
            <c:spPr>
              <a:solidFill>
                <a:schemeClr val="accent1">
                  <a:tint val="77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8A6B-4467-8CE2-99C240D1869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DO"/>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Sheet1!$A$1:$A$2</c:f>
              <c:strCache>
                <c:ptCount val="2"/>
                <c:pt idx="0">
                  <c:v>Pagada</c:v>
                </c:pt>
                <c:pt idx="1">
                  <c:v>Vencida</c:v>
                </c:pt>
              </c:strCache>
            </c:strRef>
          </c:cat>
          <c:val>
            <c:numRef>
              <c:f>Sheet1!$B$1:$B$2</c:f>
              <c:numCache>
                <c:formatCode>_(* #,##0.00_);_(* \(#,##0.00\);_(* "-"??_);_(@_)</c:formatCode>
                <c:ptCount val="2"/>
                <c:pt idx="0">
                  <c:v>26827914.870000001</c:v>
                </c:pt>
                <c:pt idx="1">
                  <c:v>32900293.75</c:v>
                </c:pt>
              </c:numCache>
            </c:numRef>
          </c:val>
          <c:extLst>
            <c:ext xmlns:c16="http://schemas.microsoft.com/office/drawing/2014/chart" uri="{C3380CC4-5D6E-409C-BE32-E72D297353CC}">
              <c16:uniqueId val="{00000004-8A6B-4467-8CE2-99C240D18696}"/>
            </c:ext>
          </c:extLst>
        </c:ser>
        <c:dLbls>
          <c:dLblPos val="outEnd"/>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D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DO"/>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spc="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s-DO" sz="1100" b="1"/>
              <a:t>Solicitudes de Préstamos de Documentos Físicos</a:t>
            </a:r>
          </a:p>
        </c:rich>
      </c:tx>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lineChart>
        <c:grouping val="standard"/>
        <c:varyColors val="0"/>
        <c:ser>
          <c:idx val="0"/>
          <c:order val="0"/>
          <c:tx>
            <c:strRef>
              <c:f>Hoja1!$C$2</c:f>
              <c:strCache>
                <c:ptCount val="1"/>
                <c:pt idx="0">
                  <c:v>Solicitudes</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Hoja1!$B$3:$B$6</c:f>
              <c:numCache>
                <c:formatCode>General</c:formatCode>
                <c:ptCount val="4"/>
                <c:pt idx="0">
                  <c:v>2022</c:v>
                </c:pt>
                <c:pt idx="1">
                  <c:v>2023</c:v>
                </c:pt>
                <c:pt idx="2">
                  <c:v>2024</c:v>
                </c:pt>
                <c:pt idx="3">
                  <c:v>2025</c:v>
                </c:pt>
              </c:numCache>
            </c:numRef>
          </c:cat>
          <c:val>
            <c:numRef>
              <c:f>Hoja1!$C$3:$C$6</c:f>
              <c:numCache>
                <c:formatCode>General</c:formatCode>
                <c:ptCount val="4"/>
                <c:pt idx="0">
                  <c:v>211</c:v>
                </c:pt>
                <c:pt idx="1">
                  <c:v>205</c:v>
                </c:pt>
                <c:pt idx="2">
                  <c:v>0</c:v>
                </c:pt>
                <c:pt idx="3">
                  <c:v>4</c:v>
                </c:pt>
              </c:numCache>
            </c:numRef>
          </c:val>
          <c:smooth val="0"/>
          <c:extLst>
            <c:ext xmlns:c16="http://schemas.microsoft.com/office/drawing/2014/chart" uri="{C3380CC4-5D6E-409C-BE32-E72D297353CC}">
              <c16:uniqueId val="{00000000-FD68-4FFB-8A93-1A61EA08CC8C}"/>
            </c:ext>
          </c:extLst>
        </c:ser>
        <c:dLbls>
          <c:dLblPos val="t"/>
          <c:showLegendKey val="0"/>
          <c:showVal val="1"/>
          <c:showCatName val="0"/>
          <c:showSerName val="0"/>
          <c:showPercent val="0"/>
          <c:showBubbleSize val="0"/>
        </c:dLbls>
        <c:smooth val="0"/>
        <c:axId val="1181042848"/>
        <c:axId val="936887231"/>
      </c:lineChart>
      <c:catAx>
        <c:axId val="1181042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crossAx val="936887231"/>
        <c:crosses val="autoZero"/>
        <c:auto val="1"/>
        <c:lblAlgn val="ctr"/>
        <c:lblOffset val="100"/>
        <c:noMultiLvlLbl val="0"/>
      </c:catAx>
      <c:valAx>
        <c:axId val="936887231"/>
        <c:scaling>
          <c:orientation val="minMax"/>
        </c:scaling>
        <c:delete val="1"/>
        <c:axPos val="l"/>
        <c:numFmt formatCode="General" sourceLinked="1"/>
        <c:majorTickMark val="none"/>
        <c:minorTickMark val="none"/>
        <c:tickLblPos val="nextTo"/>
        <c:crossAx val="1181042848"/>
        <c:crosses val="autoZero"/>
        <c:crossBetween val="between"/>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lumMod val="50000"/>
              <a:lumOff val="50000"/>
            </a:schemeClr>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baseline="0">
                <a:solidFill>
                  <a:schemeClr val="dk1">
                    <a:lumMod val="75000"/>
                    <a:lumOff val="25000"/>
                  </a:schemeClr>
                </a:solidFill>
                <a:latin typeface="+mn-lt"/>
                <a:ea typeface="+mn-ea"/>
                <a:cs typeface="+mn-cs"/>
              </a:defRPr>
            </a:pPr>
            <a:r>
              <a:rPr lang="en-US" sz="1200" b="1">
                <a:solidFill>
                  <a:schemeClr val="bg1">
                    <a:lumMod val="50000"/>
                  </a:schemeClr>
                </a:solidFill>
                <a:latin typeface="Times New Roman" panose="02020603050405020304" pitchFamily="18" charset="0"/>
                <a:cs typeface="Times New Roman" panose="02020603050405020304" pitchFamily="18" charset="0"/>
              </a:rPr>
              <a:t>Cumplimiento del Calendario de Transferencias Documentales</a:t>
            </a:r>
          </a:p>
        </c:rich>
      </c:tx>
      <c:layout>
        <c:manualLayout>
          <c:xMode val="edge"/>
          <c:yMode val="edge"/>
          <c:x val="0.16395822397200349"/>
          <c:y val="3.7037037037037035E-2"/>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dk1">
                  <a:lumMod val="75000"/>
                  <a:lumOff val="25000"/>
                </a:schemeClr>
              </a:solidFill>
              <a:latin typeface="+mn-lt"/>
              <a:ea typeface="+mn-ea"/>
              <a:cs typeface="+mn-cs"/>
            </a:defRPr>
          </a:pPr>
          <a:endParaRPr lang="en-US"/>
        </a:p>
      </c:txPr>
    </c:title>
    <c:autoTitleDeleted val="0"/>
    <c:plotArea>
      <c:layout/>
      <c:lineChart>
        <c:grouping val="standard"/>
        <c:varyColors val="0"/>
        <c:ser>
          <c:idx val="0"/>
          <c:order val="0"/>
          <c:tx>
            <c:strRef>
              <c:f>Hoja1!$C$9</c:f>
              <c:strCache>
                <c:ptCount val="1"/>
                <c:pt idx="0">
                  <c:v>Cumplimiento</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Hoja1!$B$10:$B$13</c:f>
              <c:numCache>
                <c:formatCode>General</c:formatCode>
                <c:ptCount val="4"/>
                <c:pt idx="0">
                  <c:v>2022</c:v>
                </c:pt>
                <c:pt idx="1">
                  <c:v>2023</c:v>
                </c:pt>
                <c:pt idx="2">
                  <c:v>2024</c:v>
                </c:pt>
                <c:pt idx="3">
                  <c:v>2025</c:v>
                </c:pt>
              </c:numCache>
            </c:numRef>
          </c:cat>
          <c:val>
            <c:numRef>
              <c:f>Hoja1!$C$10:$C$13</c:f>
              <c:numCache>
                <c:formatCode>General</c:formatCode>
                <c:ptCount val="4"/>
                <c:pt idx="0">
                  <c:v>68</c:v>
                </c:pt>
                <c:pt idx="1">
                  <c:v>88</c:v>
                </c:pt>
                <c:pt idx="2">
                  <c:v>94</c:v>
                </c:pt>
                <c:pt idx="3">
                  <c:v>99</c:v>
                </c:pt>
              </c:numCache>
            </c:numRef>
          </c:val>
          <c:smooth val="0"/>
          <c:extLst>
            <c:ext xmlns:c16="http://schemas.microsoft.com/office/drawing/2014/chart" uri="{C3380CC4-5D6E-409C-BE32-E72D297353CC}">
              <c16:uniqueId val="{00000000-4495-45F6-BF00-ADD830610DC2}"/>
            </c:ext>
          </c:extLst>
        </c:ser>
        <c:dLbls>
          <c:dLblPos val="ctr"/>
          <c:showLegendKey val="0"/>
          <c:showVal val="1"/>
          <c:showCatName val="0"/>
          <c:showSerName val="0"/>
          <c:showPercent val="0"/>
          <c:showBubbleSize val="0"/>
        </c:dLbls>
        <c:marker val="1"/>
        <c:smooth val="0"/>
        <c:axId val="938630703"/>
        <c:axId val="1365639535"/>
      </c:lineChart>
      <c:catAx>
        <c:axId val="938630703"/>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100" b="0" i="0" u="none" strike="noStrike" kern="1200" cap="all" baseline="0">
                <a:solidFill>
                  <a:schemeClr val="bg1">
                    <a:lumMod val="50000"/>
                  </a:schemeClr>
                </a:solidFill>
                <a:latin typeface="Times New Roman" panose="02020603050405020304" pitchFamily="18" charset="0"/>
                <a:ea typeface="+mn-ea"/>
                <a:cs typeface="Times New Roman" panose="02020603050405020304" pitchFamily="18" charset="0"/>
              </a:defRPr>
            </a:pPr>
            <a:endParaRPr lang="en-US"/>
          </a:p>
        </c:txPr>
        <c:crossAx val="1365639535"/>
        <c:crosses val="autoZero"/>
        <c:auto val="1"/>
        <c:lblAlgn val="ctr"/>
        <c:lblOffset val="100"/>
        <c:noMultiLvlLbl val="0"/>
      </c:catAx>
      <c:valAx>
        <c:axId val="1365639535"/>
        <c:scaling>
          <c:orientation val="minMax"/>
        </c:scaling>
        <c:delete val="1"/>
        <c:axPos val="l"/>
        <c:numFmt formatCode="General" sourceLinked="1"/>
        <c:majorTickMark val="none"/>
        <c:minorTickMark val="none"/>
        <c:tickLblPos val="nextTo"/>
        <c:crossAx val="938630703"/>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s-DO" sz="1200" b="1"/>
              <a:t>Personal Nuevo Ingreso </a:t>
            </a:r>
          </a:p>
        </c:rich>
      </c:tx>
      <c:layout>
        <c:manualLayout>
          <c:xMode val="edge"/>
          <c:yMode val="edge"/>
          <c:x val="0.3513263400214508"/>
          <c:y val="2.5525991550769248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bar"/>
        <c:grouping val="stacked"/>
        <c:varyColors val="0"/>
        <c:ser>
          <c:idx val="0"/>
          <c:order val="0"/>
          <c:tx>
            <c:strRef>
              <c:f>Hoja1!$B$1</c:f>
              <c:strCache>
                <c:ptCount val="1"/>
                <c:pt idx="0">
                  <c:v>G-O I</c:v>
                </c:pt>
              </c:strCache>
            </c:strRef>
          </c:tx>
          <c:spPr>
            <a:solidFill>
              <a:schemeClr val="accent6">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Hoja1!$A$2:$A$10</c:f>
              <c:strCache>
                <c:ptCount val="9"/>
                <c:pt idx="0">
                  <c:v>Dirección Administrativa </c:v>
                </c:pt>
                <c:pt idx="1">
                  <c:v>Dirección de Fiscalización Externa </c:v>
                </c:pt>
                <c:pt idx="2">
                  <c:v>Dirección de Gestión de Normas, Cumplimiento y Ciberseguridad </c:v>
                </c:pt>
                <c:pt idx="3">
                  <c:v>Dirección de Servicios </c:v>
                </c:pt>
                <c:pt idx="4">
                  <c:v>Dirección de Tecnologías de la Información y Comunicación </c:v>
                </c:pt>
                <c:pt idx="5">
                  <c:v>Dirección Financiera </c:v>
                </c:pt>
                <c:pt idx="6">
                  <c:v>Dirección Jurídica </c:v>
                </c:pt>
                <c:pt idx="7">
                  <c:v>Departamento de Comunicaciones </c:v>
                </c:pt>
                <c:pt idx="8">
                  <c:v>Departamento de Seguridad </c:v>
                </c:pt>
              </c:strCache>
            </c:strRef>
          </c:cat>
          <c:val>
            <c:numRef>
              <c:f>Hoja1!$B$2:$B$10</c:f>
              <c:numCache>
                <c:formatCode>General</c:formatCode>
                <c:ptCount val="9"/>
                <c:pt idx="0">
                  <c:v>5</c:v>
                </c:pt>
              </c:numCache>
            </c:numRef>
          </c:val>
          <c:extLst>
            <c:ext xmlns:c16="http://schemas.microsoft.com/office/drawing/2014/chart" uri="{C3380CC4-5D6E-409C-BE32-E72D297353CC}">
              <c16:uniqueId val="{00000000-DF86-427C-894F-0B1DD7DB448E}"/>
            </c:ext>
          </c:extLst>
        </c:ser>
        <c:ser>
          <c:idx val="1"/>
          <c:order val="1"/>
          <c:tx>
            <c:strRef>
              <c:f>Hoja1!$C$1</c:f>
              <c:strCache>
                <c:ptCount val="1"/>
                <c:pt idx="0">
                  <c:v>G-O II</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Hoja1!$A$2:$A$10</c:f>
              <c:strCache>
                <c:ptCount val="9"/>
                <c:pt idx="0">
                  <c:v>Dirección Administrativa </c:v>
                </c:pt>
                <c:pt idx="1">
                  <c:v>Dirección de Fiscalización Externa </c:v>
                </c:pt>
                <c:pt idx="2">
                  <c:v>Dirección de Gestión de Normas, Cumplimiento y Ciberseguridad </c:v>
                </c:pt>
                <c:pt idx="3">
                  <c:v>Dirección de Servicios </c:v>
                </c:pt>
                <c:pt idx="4">
                  <c:v>Dirección de Tecnologías de la Información y Comunicación </c:v>
                </c:pt>
                <c:pt idx="5">
                  <c:v>Dirección Financiera </c:v>
                </c:pt>
                <c:pt idx="6">
                  <c:v>Dirección Jurídica </c:v>
                </c:pt>
                <c:pt idx="7">
                  <c:v>Departamento de Comunicaciones </c:v>
                </c:pt>
                <c:pt idx="8">
                  <c:v>Departamento de Seguridad </c:v>
                </c:pt>
              </c:strCache>
            </c:strRef>
          </c:cat>
          <c:val>
            <c:numRef>
              <c:f>Hoja1!$C$2:$C$10</c:f>
              <c:numCache>
                <c:formatCode>General</c:formatCode>
                <c:ptCount val="9"/>
                <c:pt idx="0">
                  <c:v>1</c:v>
                </c:pt>
                <c:pt idx="1">
                  <c:v>1</c:v>
                </c:pt>
                <c:pt idx="3">
                  <c:v>6</c:v>
                </c:pt>
                <c:pt idx="5">
                  <c:v>2</c:v>
                </c:pt>
              </c:numCache>
            </c:numRef>
          </c:val>
          <c:extLst>
            <c:ext xmlns:c16="http://schemas.microsoft.com/office/drawing/2014/chart" uri="{C3380CC4-5D6E-409C-BE32-E72D297353CC}">
              <c16:uniqueId val="{00000001-DF86-427C-894F-0B1DD7DB448E}"/>
            </c:ext>
          </c:extLst>
        </c:ser>
        <c:ser>
          <c:idx val="2"/>
          <c:order val="2"/>
          <c:tx>
            <c:strRef>
              <c:f>Hoja1!$D$1</c:f>
              <c:strCache>
                <c:ptCount val="1"/>
                <c:pt idx="0">
                  <c:v>G-O III</c:v>
                </c:pt>
              </c:strCache>
            </c:strRef>
          </c:tx>
          <c:spPr>
            <a:solidFill>
              <a:schemeClr val="accent5">
                <a:lumMod val="75000"/>
              </a:schemeClr>
            </a:solidFill>
            <a:ln>
              <a:noFill/>
            </a:ln>
            <a:effectLst/>
          </c:spPr>
          <c:invertIfNegative val="0"/>
          <c:dLbls>
            <c:dLbl>
              <c:idx val="3"/>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F86-427C-894F-0B1DD7DB448E}"/>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F86-427C-894F-0B1DD7DB448E}"/>
                </c:ext>
              </c:extLst>
            </c:dLbl>
            <c:dLbl>
              <c:idx val="6"/>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F86-427C-894F-0B1DD7DB448E}"/>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Hoja1!$A$2:$A$10</c:f>
              <c:strCache>
                <c:ptCount val="9"/>
                <c:pt idx="0">
                  <c:v>Dirección Administrativa </c:v>
                </c:pt>
                <c:pt idx="1">
                  <c:v>Dirección de Fiscalización Externa </c:v>
                </c:pt>
                <c:pt idx="2">
                  <c:v>Dirección de Gestión de Normas, Cumplimiento y Ciberseguridad </c:v>
                </c:pt>
                <c:pt idx="3">
                  <c:v>Dirección de Servicios </c:v>
                </c:pt>
                <c:pt idx="4">
                  <c:v>Dirección de Tecnologías de la Información y Comunicación </c:v>
                </c:pt>
                <c:pt idx="5">
                  <c:v>Dirección Financiera </c:v>
                </c:pt>
                <c:pt idx="6">
                  <c:v>Dirección Jurídica </c:v>
                </c:pt>
                <c:pt idx="7">
                  <c:v>Departamento de Comunicaciones </c:v>
                </c:pt>
                <c:pt idx="8">
                  <c:v>Departamento de Seguridad </c:v>
                </c:pt>
              </c:strCache>
            </c:strRef>
          </c:cat>
          <c:val>
            <c:numRef>
              <c:f>Hoja1!$D$2:$D$10</c:f>
              <c:numCache>
                <c:formatCode>General</c:formatCode>
                <c:ptCount val="9"/>
                <c:pt idx="1">
                  <c:v>1</c:v>
                </c:pt>
                <c:pt idx="3">
                  <c:v>1</c:v>
                </c:pt>
                <c:pt idx="4">
                  <c:v>2</c:v>
                </c:pt>
                <c:pt idx="7">
                  <c:v>1</c:v>
                </c:pt>
              </c:numCache>
            </c:numRef>
          </c:val>
          <c:extLst>
            <c:ext xmlns:c16="http://schemas.microsoft.com/office/drawing/2014/chart" uri="{C3380CC4-5D6E-409C-BE32-E72D297353CC}">
              <c16:uniqueId val="{00000005-DF86-427C-894F-0B1DD7DB448E}"/>
            </c:ext>
          </c:extLst>
        </c:ser>
        <c:ser>
          <c:idx val="3"/>
          <c:order val="3"/>
          <c:tx>
            <c:strRef>
              <c:f>Hoja1!$E$1</c:f>
              <c:strCache>
                <c:ptCount val="1"/>
                <c:pt idx="0">
                  <c:v>G-O IV</c:v>
                </c:pt>
              </c:strCache>
            </c:strRef>
          </c:tx>
          <c:spPr>
            <a:solidFill>
              <a:schemeClr val="bg2">
                <a:lumMod val="9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Hoja1!$A$2:$A$10</c:f>
              <c:strCache>
                <c:ptCount val="9"/>
                <c:pt idx="0">
                  <c:v>Dirección Administrativa </c:v>
                </c:pt>
                <c:pt idx="1">
                  <c:v>Dirección de Fiscalización Externa </c:v>
                </c:pt>
                <c:pt idx="2">
                  <c:v>Dirección de Gestión de Normas, Cumplimiento y Ciberseguridad </c:v>
                </c:pt>
                <c:pt idx="3">
                  <c:v>Dirección de Servicios </c:v>
                </c:pt>
                <c:pt idx="4">
                  <c:v>Dirección de Tecnologías de la Información y Comunicación </c:v>
                </c:pt>
                <c:pt idx="5">
                  <c:v>Dirección Financiera </c:v>
                </c:pt>
                <c:pt idx="6">
                  <c:v>Dirección Jurídica </c:v>
                </c:pt>
                <c:pt idx="7">
                  <c:v>Departamento de Comunicaciones </c:v>
                </c:pt>
                <c:pt idx="8">
                  <c:v>Departamento de Seguridad </c:v>
                </c:pt>
              </c:strCache>
            </c:strRef>
          </c:cat>
          <c:val>
            <c:numRef>
              <c:f>Hoja1!$E$2:$E$10</c:f>
              <c:numCache>
                <c:formatCode>General</c:formatCode>
                <c:ptCount val="9"/>
                <c:pt idx="1">
                  <c:v>1</c:v>
                </c:pt>
                <c:pt idx="2">
                  <c:v>1</c:v>
                </c:pt>
                <c:pt idx="4">
                  <c:v>3</c:v>
                </c:pt>
                <c:pt idx="5">
                  <c:v>2</c:v>
                </c:pt>
                <c:pt idx="6">
                  <c:v>3</c:v>
                </c:pt>
              </c:numCache>
            </c:numRef>
          </c:val>
          <c:extLst>
            <c:ext xmlns:c16="http://schemas.microsoft.com/office/drawing/2014/chart" uri="{C3380CC4-5D6E-409C-BE32-E72D297353CC}">
              <c16:uniqueId val="{00000006-DF86-427C-894F-0B1DD7DB448E}"/>
            </c:ext>
          </c:extLst>
        </c:ser>
        <c:ser>
          <c:idx val="4"/>
          <c:order val="4"/>
          <c:tx>
            <c:strRef>
              <c:f>Hoja1!$F$1</c:f>
              <c:strCache>
                <c:ptCount val="1"/>
                <c:pt idx="0">
                  <c:v>G-O V</c:v>
                </c:pt>
              </c:strCache>
            </c:strRef>
          </c:tx>
          <c:spPr>
            <a:solidFill>
              <a:srgbClr val="002060"/>
            </a:solidFill>
            <a:ln>
              <a:noFill/>
            </a:ln>
            <a:effectLst/>
          </c:spPr>
          <c:invertIfNegative val="0"/>
          <c:cat>
            <c:strRef>
              <c:f>Hoja1!$A$2:$A$10</c:f>
              <c:strCache>
                <c:ptCount val="9"/>
                <c:pt idx="0">
                  <c:v>Dirección Administrativa </c:v>
                </c:pt>
                <c:pt idx="1">
                  <c:v>Dirección de Fiscalización Externa </c:v>
                </c:pt>
                <c:pt idx="2">
                  <c:v>Dirección de Gestión de Normas, Cumplimiento y Ciberseguridad </c:v>
                </c:pt>
                <c:pt idx="3">
                  <c:v>Dirección de Servicios </c:v>
                </c:pt>
                <c:pt idx="4">
                  <c:v>Dirección de Tecnologías de la Información y Comunicación </c:v>
                </c:pt>
                <c:pt idx="5">
                  <c:v>Dirección Financiera </c:v>
                </c:pt>
                <c:pt idx="6">
                  <c:v>Dirección Jurídica </c:v>
                </c:pt>
                <c:pt idx="7">
                  <c:v>Departamento de Comunicaciones </c:v>
                </c:pt>
                <c:pt idx="8">
                  <c:v>Departamento de Seguridad </c:v>
                </c:pt>
              </c:strCache>
            </c:strRef>
          </c:cat>
          <c:val>
            <c:numRef>
              <c:f>Hoja1!$F$2:$F$10</c:f>
              <c:numCache>
                <c:formatCode>General</c:formatCode>
                <c:ptCount val="9"/>
                <c:pt idx="4">
                  <c:v>1</c:v>
                </c:pt>
                <c:pt idx="8">
                  <c:v>1</c:v>
                </c:pt>
              </c:numCache>
            </c:numRef>
          </c:val>
          <c:extLst>
            <c:ext xmlns:c16="http://schemas.microsoft.com/office/drawing/2014/chart" uri="{C3380CC4-5D6E-409C-BE32-E72D297353CC}">
              <c16:uniqueId val="{00000007-DF86-427C-894F-0B1DD7DB448E}"/>
            </c:ext>
          </c:extLst>
        </c:ser>
        <c:dLbls>
          <c:showLegendKey val="0"/>
          <c:showVal val="0"/>
          <c:showCatName val="0"/>
          <c:showSerName val="0"/>
          <c:showPercent val="0"/>
          <c:showBubbleSize val="0"/>
        </c:dLbls>
        <c:gapWidth val="150"/>
        <c:overlap val="100"/>
        <c:axId val="1098105791"/>
        <c:axId val="1389015599"/>
      </c:barChart>
      <c:catAx>
        <c:axId val="1098105791"/>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89015599"/>
        <c:crosses val="autoZero"/>
        <c:auto val="1"/>
        <c:lblAlgn val="ctr"/>
        <c:lblOffset val="100"/>
        <c:noMultiLvlLbl val="0"/>
      </c:catAx>
      <c:valAx>
        <c:axId val="138901559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0981057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100" b="0" i="0" u="none" strike="noStrike" kern="1200" spc="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s-DO" sz="1100" b="0"/>
              <a:t>Incorporación a la carrera administrativa</a:t>
            </a:r>
            <a:endParaRPr lang="en-US" sz="1100" b="0"/>
          </a:p>
        </c:rich>
      </c:tx>
      <c:layout>
        <c:manualLayout>
          <c:xMode val="edge"/>
          <c:yMode val="edge"/>
          <c:x val="0.21010638297872342"/>
          <c:y val="3.2362459546925564E-2"/>
        </c:manualLayout>
      </c:layout>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Sales</c:v>
                </c:pt>
              </c:strCache>
            </c:strRef>
          </c:tx>
          <c:dPt>
            <c:idx val="0"/>
            <c:bubble3D val="0"/>
            <c:spPr>
              <a:solidFill>
                <a:schemeClr val="accent1">
                  <a:shade val="6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E181-40E8-84CE-659AC20EB122}"/>
              </c:ext>
            </c:extLst>
          </c:dPt>
          <c:dPt>
            <c:idx val="1"/>
            <c:bubble3D val="0"/>
            <c:spPr>
              <a:solidFill>
                <a:srgbClr val="002060"/>
              </a:solidFill>
              <a:ln w="25400">
                <a:solidFill>
                  <a:schemeClr val="lt1"/>
                </a:solidFill>
              </a:ln>
              <a:effectLst/>
              <a:sp3d contourW="25400">
                <a:contourClr>
                  <a:schemeClr val="lt1"/>
                </a:contourClr>
              </a:sp3d>
            </c:spPr>
            <c:extLst>
              <c:ext xmlns:c16="http://schemas.microsoft.com/office/drawing/2014/chart" uri="{C3380CC4-5D6E-409C-BE32-E72D297353CC}">
                <c16:uniqueId val="{00000003-E181-40E8-84CE-659AC20EB122}"/>
              </c:ext>
            </c:extLst>
          </c:dPt>
          <c:dPt>
            <c:idx val="2"/>
            <c:bubble3D val="0"/>
            <c:spPr>
              <a:solidFill>
                <a:schemeClr val="accent1">
                  <a:tint val="6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5-E181-40E8-84CE-659AC20EB122}"/>
              </c:ext>
            </c:extLst>
          </c:dPt>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181-40E8-84CE-659AC20EB122}"/>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181-40E8-84CE-659AC20EB122}"/>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181-40E8-84CE-659AC20EB122}"/>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showLegendKey val="0"/>
            <c:showVal val="0"/>
            <c:showCatName val="0"/>
            <c:showSerName val="0"/>
            <c:showPercent val="0"/>
            <c:showBubbleSize val="0"/>
            <c:extLst>
              <c:ext xmlns:c15="http://schemas.microsoft.com/office/drawing/2012/chart" uri="{CE6537A1-D6FC-4f65-9D91-7224C49458BB}"/>
            </c:extLst>
          </c:dLbls>
          <c:cat>
            <c:strRef>
              <c:f>Sheet1!$A$2:$A$4</c:f>
              <c:strCache>
                <c:ptCount val="3"/>
                <c:pt idx="0">
                  <c:v>Nombramientos definitivos </c:v>
                </c:pt>
                <c:pt idx="1">
                  <c:v>Uso de regsitro de elegibles y nombramiento provisional </c:v>
                </c:pt>
                <c:pt idx="2">
                  <c:v>Concursos aperturados</c:v>
                </c:pt>
              </c:strCache>
            </c:strRef>
          </c:cat>
          <c:val>
            <c:numRef>
              <c:f>Sheet1!$B$2:$B$4</c:f>
              <c:numCache>
                <c:formatCode>General</c:formatCode>
                <c:ptCount val="3"/>
                <c:pt idx="0">
                  <c:v>4</c:v>
                </c:pt>
                <c:pt idx="1">
                  <c:v>3</c:v>
                </c:pt>
                <c:pt idx="2">
                  <c:v>3</c:v>
                </c:pt>
              </c:numCache>
            </c:numRef>
          </c:val>
          <c:extLst>
            <c:ext xmlns:c16="http://schemas.microsoft.com/office/drawing/2014/chart" uri="{C3380CC4-5D6E-409C-BE32-E72D297353CC}">
              <c16:uniqueId val="{00000006-E181-40E8-84CE-659AC20EB122}"/>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a:solidFill>
            <a:schemeClr val="tx1">
              <a:lumMod val="50000"/>
              <a:lumOff val="50000"/>
            </a:schemeClr>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n-US" sz="1100" b="0"/>
              <a:t>Salidas de Personal 2025</a:t>
            </a: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bar"/>
        <c:grouping val="stacked"/>
        <c:varyColors val="0"/>
        <c:ser>
          <c:idx val="0"/>
          <c:order val="0"/>
          <c:tx>
            <c:strRef>
              <c:f>Sheet1!$B$1</c:f>
              <c:strCache>
                <c:ptCount val="1"/>
                <c:pt idx="0">
                  <c:v>Renuncia</c:v>
                </c:pt>
              </c:strCache>
            </c:strRef>
          </c:tx>
          <c:spPr>
            <a:solidFill>
              <a:schemeClr val="accent1"/>
            </a:solidFill>
            <a:ln>
              <a:noFill/>
            </a:ln>
            <a:effectLst/>
          </c:spPr>
          <c:invertIfNegative val="0"/>
          <c:cat>
            <c:strRef>
              <c:f>Sheet1!$A$2:$A$10</c:f>
              <c:strCache>
                <c:ptCount val="9"/>
                <c:pt idx="0">
                  <c:v>Departamento de Comunicaciones</c:v>
                </c:pt>
                <c:pt idx="1">
                  <c:v>Departamento de Fiscalización Interna</c:v>
                </c:pt>
                <c:pt idx="2">
                  <c:v>Dirección Administrativa</c:v>
                </c:pt>
                <c:pt idx="3">
                  <c:v>Dirección de Fiscalización Externa</c:v>
                </c:pt>
                <c:pt idx="4">
                  <c:v>Dirección de Gestión de Normas, Cumplimiento y Ciberseguridad</c:v>
                </c:pt>
                <c:pt idx="5">
                  <c:v>Dirección de Servicios</c:v>
                </c:pt>
                <c:pt idx="6">
                  <c:v>Dirección de Tecnologías de la Información y Comunicación</c:v>
                </c:pt>
                <c:pt idx="7">
                  <c:v>Dirección Financiera</c:v>
                </c:pt>
                <c:pt idx="8">
                  <c:v>Dirección Jurídica</c:v>
                </c:pt>
              </c:strCache>
            </c:strRef>
          </c:cat>
          <c:val>
            <c:numRef>
              <c:f>Sheet1!$B$2:$B$10</c:f>
              <c:numCache>
                <c:formatCode>General</c:formatCode>
                <c:ptCount val="9"/>
                <c:pt idx="0">
                  <c:v>1</c:v>
                </c:pt>
                <c:pt idx="1">
                  <c:v>1</c:v>
                </c:pt>
                <c:pt idx="2">
                  <c:v>0</c:v>
                </c:pt>
                <c:pt idx="3">
                  <c:v>1</c:v>
                </c:pt>
                <c:pt idx="4">
                  <c:v>3</c:v>
                </c:pt>
                <c:pt idx="5">
                  <c:v>0</c:v>
                </c:pt>
                <c:pt idx="6">
                  <c:v>2</c:v>
                </c:pt>
                <c:pt idx="7">
                  <c:v>0</c:v>
                </c:pt>
                <c:pt idx="8">
                  <c:v>0</c:v>
                </c:pt>
              </c:numCache>
            </c:numRef>
          </c:val>
          <c:extLst>
            <c:ext xmlns:c16="http://schemas.microsoft.com/office/drawing/2014/chart" uri="{C3380CC4-5D6E-409C-BE32-E72D297353CC}">
              <c16:uniqueId val="{00000000-0E8F-4399-925F-D16BAB31EC0D}"/>
            </c:ext>
          </c:extLst>
        </c:ser>
        <c:ser>
          <c:idx val="1"/>
          <c:order val="1"/>
          <c:tx>
            <c:strRef>
              <c:f>Sheet1!$C$1</c:f>
              <c:strCache>
                <c:ptCount val="1"/>
                <c:pt idx="0">
                  <c:v>Desvinculación</c:v>
                </c:pt>
              </c:strCache>
            </c:strRef>
          </c:tx>
          <c:spPr>
            <a:solidFill>
              <a:schemeClr val="accent3"/>
            </a:solidFill>
            <a:ln>
              <a:noFill/>
            </a:ln>
            <a:effectLst/>
          </c:spPr>
          <c:invertIfNegative val="0"/>
          <c:cat>
            <c:strRef>
              <c:f>Sheet1!$A$2:$A$10</c:f>
              <c:strCache>
                <c:ptCount val="9"/>
                <c:pt idx="0">
                  <c:v>Departamento de Comunicaciones</c:v>
                </c:pt>
                <c:pt idx="1">
                  <c:v>Departamento de Fiscalización Interna</c:v>
                </c:pt>
                <c:pt idx="2">
                  <c:v>Dirección Administrativa</c:v>
                </c:pt>
                <c:pt idx="3">
                  <c:v>Dirección de Fiscalización Externa</c:v>
                </c:pt>
                <c:pt idx="4">
                  <c:v>Dirección de Gestión de Normas, Cumplimiento y Ciberseguridad</c:v>
                </c:pt>
                <c:pt idx="5">
                  <c:v>Dirección de Servicios</c:v>
                </c:pt>
                <c:pt idx="6">
                  <c:v>Dirección de Tecnologías de la Información y Comunicación</c:v>
                </c:pt>
                <c:pt idx="7">
                  <c:v>Dirección Financiera</c:v>
                </c:pt>
                <c:pt idx="8">
                  <c:v>Dirección Jurídica</c:v>
                </c:pt>
              </c:strCache>
            </c:strRef>
          </c:cat>
          <c:val>
            <c:numRef>
              <c:f>Sheet1!$C$2:$C$10</c:f>
              <c:numCache>
                <c:formatCode>General</c:formatCode>
                <c:ptCount val="9"/>
                <c:pt idx="0">
                  <c:v>0</c:v>
                </c:pt>
                <c:pt idx="1">
                  <c:v>1</c:v>
                </c:pt>
                <c:pt idx="2">
                  <c:v>6</c:v>
                </c:pt>
                <c:pt idx="3">
                  <c:v>0</c:v>
                </c:pt>
                <c:pt idx="4">
                  <c:v>0</c:v>
                </c:pt>
                <c:pt idx="5">
                  <c:v>0</c:v>
                </c:pt>
                <c:pt idx="6">
                  <c:v>1</c:v>
                </c:pt>
                <c:pt idx="7">
                  <c:v>1</c:v>
                </c:pt>
                <c:pt idx="8">
                  <c:v>1</c:v>
                </c:pt>
              </c:numCache>
            </c:numRef>
          </c:val>
          <c:extLst>
            <c:ext xmlns:c16="http://schemas.microsoft.com/office/drawing/2014/chart" uri="{C3380CC4-5D6E-409C-BE32-E72D297353CC}">
              <c16:uniqueId val="{00000001-0E8F-4399-925F-D16BAB31EC0D}"/>
            </c:ext>
          </c:extLst>
        </c:ser>
        <c:ser>
          <c:idx val="2"/>
          <c:order val="2"/>
          <c:tx>
            <c:strRef>
              <c:f>Sheet1!$D$1</c:f>
              <c:strCache>
                <c:ptCount val="1"/>
                <c:pt idx="0">
                  <c:v>Término de Contrato</c:v>
                </c:pt>
              </c:strCache>
            </c:strRef>
          </c:tx>
          <c:spPr>
            <a:solidFill>
              <a:schemeClr val="accent5"/>
            </a:solidFill>
            <a:ln>
              <a:noFill/>
            </a:ln>
            <a:effectLst/>
          </c:spPr>
          <c:invertIfNegative val="0"/>
          <c:cat>
            <c:strRef>
              <c:f>Sheet1!$A$2:$A$10</c:f>
              <c:strCache>
                <c:ptCount val="9"/>
                <c:pt idx="0">
                  <c:v>Departamento de Comunicaciones</c:v>
                </c:pt>
                <c:pt idx="1">
                  <c:v>Departamento de Fiscalización Interna</c:v>
                </c:pt>
                <c:pt idx="2">
                  <c:v>Dirección Administrativa</c:v>
                </c:pt>
                <c:pt idx="3">
                  <c:v>Dirección de Fiscalización Externa</c:v>
                </c:pt>
                <c:pt idx="4">
                  <c:v>Dirección de Gestión de Normas, Cumplimiento y Ciberseguridad</c:v>
                </c:pt>
                <c:pt idx="5">
                  <c:v>Dirección de Servicios</c:v>
                </c:pt>
                <c:pt idx="6">
                  <c:v>Dirección de Tecnologías de la Información y Comunicación</c:v>
                </c:pt>
                <c:pt idx="7">
                  <c:v>Dirección Financiera</c:v>
                </c:pt>
                <c:pt idx="8">
                  <c:v>Dirección Jurídica</c:v>
                </c:pt>
              </c:strCache>
            </c:strRef>
          </c:cat>
          <c:val>
            <c:numRef>
              <c:f>Sheet1!$D$2:$D$10</c:f>
              <c:numCache>
                <c:formatCode>General</c:formatCode>
                <c:ptCount val="9"/>
                <c:pt idx="0">
                  <c:v>0</c:v>
                </c:pt>
                <c:pt idx="1">
                  <c:v>0</c:v>
                </c:pt>
                <c:pt idx="2">
                  <c:v>0</c:v>
                </c:pt>
                <c:pt idx="3">
                  <c:v>0</c:v>
                </c:pt>
                <c:pt idx="4">
                  <c:v>0</c:v>
                </c:pt>
                <c:pt idx="5">
                  <c:v>1</c:v>
                </c:pt>
                <c:pt idx="6">
                  <c:v>0</c:v>
                </c:pt>
                <c:pt idx="7">
                  <c:v>1</c:v>
                </c:pt>
                <c:pt idx="8">
                  <c:v>0</c:v>
                </c:pt>
              </c:numCache>
            </c:numRef>
          </c:val>
          <c:extLst>
            <c:ext xmlns:c16="http://schemas.microsoft.com/office/drawing/2014/chart" uri="{C3380CC4-5D6E-409C-BE32-E72D297353CC}">
              <c16:uniqueId val="{00000002-0E8F-4399-925F-D16BAB31EC0D}"/>
            </c:ext>
          </c:extLst>
        </c:ser>
        <c:dLbls>
          <c:showLegendKey val="0"/>
          <c:showVal val="0"/>
          <c:showCatName val="0"/>
          <c:showSerName val="0"/>
          <c:showPercent val="0"/>
          <c:showBubbleSize val="0"/>
        </c:dLbls>
        <c:gapWidth val="150"/>
        <c:overlap val="100"/>
        <c:axId val="1498262160"/>
        <c:axId val="1137510352"/>
      </c:barChart>
      <c:catAx>
        <c:axId val="14982621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crossAx val="1137510352"/>
        <c:crosses val="autoZero"/>
        <c:auto val="1"/>
        <c:lblAlgn val="ctr"/>
        <c:lblOffset val="100"/>
        <c:noMultiLvlLbl val="0"/>
      </c:catAx>
      <c:valAx>
        <c:axId val="11375103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crossAx val="14982621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a:solidFill>
            <a:schemeClr val="tx1">
              <a:lumMod val="50000"/>
              <a:lumOff val="50000"/>
            </a:schemeClr>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n-US" sz="1050" b="0">
                <a:latin typeface="Times New Roman" panose="02020603050405020304" pitchFamily="18" charset="0"/>
                <a:cs typeface="Times New Roman" panose="02020603050405020304" pitchFamily="18" charset="0"/>
              </a:rPr>
              <a:t>Crecimiento Personal TSS</a:t>
            </a:r>
          </a:p>
        </c:rich>
      </c:tx>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strRef>
              <c:f>Movimientos!$B$1</c:f>
              <c:strCache>
                <c:ptCount val="1"/>
                <c:pt idx="0">
                  <c:v>Cantidad</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cat>
            <c:strRef>
              <c:f>Movimientos!$A$2:$A$6</c:f>
              <c:strCache>
                <c:ptCount val="5"/>
                <c:pt idx="0">
                  <c:v>Promoción de Servidores de Carrera</c:v>
                </c:pt>
                <c:pt idx="1">
                  <c:v>Suplencia</c:v>
                </c:pt>
                <c:pt idx="2">
                  <c:v>Cambio de designación</c:v>
                </c:pt>
                <c:pt idx="3">
                  <c:v>Interinato para cubrir licencia post natal</c:v>
                </c:pt>
                <c:pt idx="4">
                  <c:v>Interinatos</c:v>
                </c:pt>
              </c:strCache>
            </c:strRef>
          </c:cat>
          <c:val>
            <c:numRef>
              <c:f>Movimientos!$B$2:$B$6</c:f>
              <c:numCache>
                <c:formatCode>General</c:formatCode>
                <c:ptCount val="5"/>
                <c:pt idx="0">
                  <c:v>4</c:v>
                </c:pt>
                <c:pt idx="1">
                  <c:v>2</c:v>
                </c:pt>
                <c:pt idx="2">
                  <c:v>9</c:v>
                </c:pt>
                <c:pt idx="3">
                  <c:v>1</c:v>
                </c:pt>
                <c:pt idx="4">
                  <c:v>9</c:v>
                </c:pt>
              </c:numCache>
            </c:numRef>
          </c:val>
          <c:extLst>
            <c:ext xmlns:c16="http://schemas.microsoft.com/office/drawing/2014/chart" uri="{C3380CC4-5D6E-409C-BE32-E72D297353CC}">
              <c16:uniqueId val="{00000000-14D6-4D79-8F4D-68B6E75AF4DE}"/>
            </c:ext>
          </c:extLst>
        </c:ser>
        <c:dLbls>
          <c:showLegendKey val="0"/>
          <c:showVal val="0"/>
          <c:showCatName val="0"/>
          <c:showSerName val="0"/>
          <c:showPercent val="0"/>
          <c:showBubbleSize val="0"/>
        </c:dLbls>
        <c:gapWidth val="100"/>
        <c:overlap val="-24"/>
        <c:axId val="10"/>
        <c:axId val="100"/>
      </c:barChart>
      <c:catAx>
        <c:axId val="1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n-US" sz="900">
                    <a:latin typeface="Times New Roman" panose="02020603050405020304" pitchFamily="18" charset="0"/>
                    <a:cs typeface="Times New Roman" panose="02020603050405020304" pitchFamily="18" charset="0"/>
                  </a:rPr>
                  <a:t>Tipo de Movimiento</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crossAx val="100"/>
        <c:crosses val="autoZero"/>
        <c:auto val="0"/>
        <c:lblAlgn val="ctr"/>
        <c:lblOffset val="100"/>
        <c:noMultiLvlLbl val="0"/>
      </c:catAx>
      <c:valAx>
        <c:axId val="100"/>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Cantidad</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crossAx val="1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bg1"/>
      </a:solidFill>
      <a:round/>
    </a:ln>
    <a:effectLst/>
  </c:spPr>
  <c:txPr>
    <a:bodyPr/>
    <a:lstStyle/>
    <a:p>
      <a:pPr>
        <a:defRPr>
          <a:solidFill>
            <a:schemeClr val="tx1">
              <a:lumMod val="50000"/>
              <a:lumOff val="50000"/>
            </a:schemeClr>
          </a:solidFill>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b="0"/>
              <a:t>Porcentaje de acuerdos elaborados a inicios del año 2025</a:t>
            </a:r>
          </a:p>
        </c:rich>
      </c:tx>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pieChart>
        <c:varyColors val="1"/>
        <c:ser>
          <c:idx val="0"/>
          <c:order val="0"/>
          <c:tx>
            <c:strRef>
              <c:f>Hoja1!$B$1</c:f>
              <c:strCache>
                <c:ptCount val="1"/>
                <c:pt idx="0">
                  <c:v>Ventas</c:v>
                </c:pt>
              </c:strCache>
            </c:strRef>
          </c:tx>
          <c:spPr>
            <a:ln>
              <a:solidFill>
                <a:schemeClr val="bg1"/>
              </a:solidFill>
            </a:ln>
          </c:spPr>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solidFill>
                  <a:schemeClr val="bg1"/>
                </a:solid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87DC-4A9D-AC29-0D364D5C2AE0}"/>
              </c:ext>
            </c:extLst>
          </c:dPt>
          <c:dLbls>
            <c:dLbl>
              <c:idx val="0"/>
              <c:layout>
                <c:manualLayout>
                  <c:x val="0"/>
                  <c:y val="-0.35136398272796543"/>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7DC-4A9D-AC29-0D364D5C2AE0}"/>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Hoja1!$A$2</c:f>
              <c:strCache>
                <c:ptCount val="1"/>
                <c:pt idx="0">
                  <c:v>1er semestre</c:v>
                </c:pt>
              </c:strCache>
            </c:strRef>
          </c:cat>
          <c:val>
            <c:numRef>
              <c:f>Hoja1!$B$2</c:f>
              <c:numCache>
                <c:formatCode>0%</c:formatCode>
                <c:ptCount val="1"/>
                <c:pt idx="0">
                  <c:v>1</c:v>
                </c:pt>
              </c:numCache>
            </c:numRef>
          </c:val>
          <c:extLst>
            <c:ext xmlns:c16="http://schemas.microsoft.com/office/drawing/2014/chart" uri="{C3380CC4-5D6E-409C-BE32-E72D297353CC}">
              <c16:uniqueId val="{00000002-87DC-4A9D-AC29-0D364D5C2AE0}"/>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cap="none" spc="5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900" b="0" cap="none">
                <a:latin typeface="Times New Roman" panose="02020603050405020304" pitchFamily="18" charset="0"/>
                <a:cs typeface="Times New Roman" panose="02020603050405020304" pitchFamily="18" charset="0"/>
              </a:rPr>
              <a:t>Planes</a:t>
            </a:r>
            <a:r>
              <a:rPr lang="en-US" sz="900" b="0" cap="none" baseline="0">
                <a:latin typeface="Times New Roman" panose="02020603050405020304" pitchFamily="18" charset="0"/>
                <a:cs typeface="Times New Roman" panose="02020603050405020304" pitchFamily="18" charset="0"/>
              </a:rPr>
              <a:t> de mejora y desarrollo profesional recibidos</a:t>
            </a:r>
            <a:endParaRPr lang="en-US" sz="900" b="0" cap="none">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900" b="0" i="0" u="none" strike="noStrike" kern="1200" cap="none" spc="5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pieChart>
        <c:varyColors val="1"/>
        <c:ser>
          <c:idx val="0"/>
          <c:order val="0"/>
          <c:tx>
            <c:strRef>
              <c:f>Hoja1!$B$1</c:f>
              <c:strCache>
                <c:ptCount val="1"/>
                <c:pt idx="0">
                  <c:v>Ventas</c:v>
                </c:pt>
              </c:strCache>
            </c:strRef>
          </c:tx>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683E-402D-AF0B-04F74A701C1D}"/>
              </c:ext>
            </c:extLst>
          </c:dPt>
          <c:dPt>
            <c:idx val="1"/>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683E-402D-AF0B-04F74A701C1D}"/>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Hoja1!$A$2:$A$3</c:f>
              <c:strCache>
                <c:ptCount val="2"/>
                <c:pt idx="0">
                  <c:v>Planes de mejora recibidos</c:v>
                </c:pt>
                <c:pt idx="1">
                  <c:v>Planes de mejora pendientes por recibir</c:v>
                </c:pt>
              </c:strCache>
            </c:strRef>
          </c:cat>
          <c:val>
            <c:numRef>
              <c:f>Hoja1!$B$2:$B$3</c:f>
              <c:numCache>
                <c:formatCode>0%</c:formatCode>
                <c:ptCount val="2"/>
                <c:pt idx="0">
                  <c:v>0.68</c:v>
                </c:pt>
                <c:pt idx="1">
                  <c:v>0.32</c:v>
                </c:pt>
              </c:numCache>
            </c:numRef>
          </c:val>
          <c:extLst>
            <c:ext xmlns:c16="http://schemas.microsoft.com/office/drawing/2014/chart" uri="{C3380CC4-5D6E-409C-BE32-E72D297353CC}">
              <c16:uniqueId val="{00000004-683E-402D-AF0B-04F74A701C1D}"/>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manualLayout>
          <c:xMode val="edge"/>
          <c:yMode val="edge"/>
          <c:x val="0.26370864521564436"/>
          <c:y val="2.8835063437139562E-2"/>
        </c:manualLayout>
      </c:layout>
      <c:overlay val="0"/>
      <c:spPr>
        <a:noFill/>
        <a:ln>
          <a:noFill/>
        </a:ln>
        <a:effectLst/>
      </c:spPr>
      <c:txPr>
        <a:bodyPr rot="0" spcFirstLastPara="1" vertOverflow="ellipsis" vert="horz" wrap="square" anchor="ctr" anchorCtr="1"/>
        <a:lstStyle/>
        <a:p>
          <a:pPr>
            <a:defRPr sz="900" b="0" i="0" u="none" strike="noStrike" kern="1200" cap="none"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1"/>
        <c:ser>
          <c:idx val="0"/>
          <c:order val="0"/>
          <c:tx>
            <c:strRef>
              <c:f>Hoja1!$B$1</c:f>
              <c:strCache>
                <c:ptCount val="1"/>
                <c:pt idx="0">
                  <c:v>Colaboradores de nuevo ingreso con acuerdos elaborados</c:v>
                </c:pt>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831E-46DA-B04D-F4B325AA1066}"/>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831E-46DA-B04D-F4B325AA1066}"/>
              </c:ext>
            </c:extLst>
          </c:dPt>
          <c:dLbls>
            <c:spPr>
              <a:noFill/>
              <a:ln>
                <a:noFill/>
              </a:ln>
              <a:effectLst/>
            </c:spPr>
            <c:txPr>
              <a:bodyPr rot="-540000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Hoja1!$A$2:$A$3</c:f>
              <c:strCache>
                <c:ptCount val="2"/>
                <c:pt idx="0">
                  <c:v>Porcentaje de acuerdos elaborados </c:v>
                </c:pt>
                <c:pt idx="1">
                  <c:v>No entregados </c:v>
                </c:pt>
              </c:strCache>
            </c:strRef>
          </c:cat>
          <c:val>
            <c:numRef>
              <c:f>Hoja1!$B$2:$B$3</c:f>
              <c:numCache>
                <c:formatCode>General</c:formatCode>
                <c:ptCount val="2"/>
                <c:pt idx="0">
                  <c:v>33</c:v>
                </c:pt>
                <c:pt idx="1">
                  <c:v>0</c:v>
                </c:pt>
              </c:numCache>
            </c:numRef>
          </c:val>
          <c:extLst>
            <c:ext xmlns:c16="http://schemas.microsoft.com/office/drawing/2014/chart" uri="{C3380CC4-5D6E-409C-BE32-E72D297353CC}">
              <c16:uniqueId val="{00000004-831E-46DA-B04D-F4B325AA1066}"/>
            </c:ext>
          </c:extLst>
        </c:ser>
        <c:dLbls>
          <c:dLblPos val="outEnd"/>
          <c:showLegendKey val="0"/>
          <c:showVal val="1"/>
          <c:showCatName val="0"/>
          <c:showSerName val="0"/>
          <c:showPercent val="0"/>
          <c:showBubbleSize val="0"/>
        </c:dLbls>
        <c:gapWidth val="444"/>
        <c:overlap val="-90"/>
        <c:axId val="1691402783"/>
        <c:axId val="1691403743"/>
      </c:barChart>
      <c:catAx>
        <c:axId val="169140278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91403743"/>
        <c:crosses val="autoZero"/>
        <c:auto val="1"/>
        <c:lblAlgn val="ctr"/>
        <c:lblOffset val="100"/>
        <c:noMultiLvlLbl val="0"/>
      </c:catAx>
      <c:valAx>
        <c:axId val="1691403743"/>
        <c:scaling>
          <c:orientation val="minMax"/>
        </c:scaling>
        <c:delete val="1"/>
        <c:axPos val="l"/>
        <c:numFmt formatCode="General" sourceLinked="1"/>
        <c:majorTickMark val="none"/>
        <c:minorTickMark val="none"/>
        <c:tickLblPos val="nextTo"/>
        <c:crossAx val="1691402783"/>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ysClr val="window" lastClr="FFFFFF"/>
      </a:solidFill>
      <a:round/>
    </a:ln>
    <a:effectLst/>
  </c:spPr>
  <c:txPr>
    <a:bodyPr/>
    <a:lstStyle/>
    <a:p>
      <a:pPr>
        <a:defRPr/>
      </a:pPr>
      <a:endParaRPr lang="en-US"/>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000" b="0" i="0" u="none" strike="noStrike" kern="1200" cap="none"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pieChart>
        <c:varyColors val="1"/>
        <c:ser>
          <c:idx val="0"/>
          <c:order val="0"/>
          <c:tx>
            <c:strRef>
              <c:f>Hoja1!$B$1</c:f>
              <c:strCache>
                <c:ptCount val="1"/>
                <c:pt idx="0">
                  <c:v>Porcentaje de minutas recibidas</c:v>
                </c:pt>
              </c:strCache>
            </c:strRef>
          </c:tx>
          <c:dPt>
            <c:idx val="0"/>
            <c:bubble3D val="0"/>
            <c:spPr>
              <a:solidFill>
                <a:schemeClr val="accent1">
                  <a:alpha val="70000"/>
                </a:schemeClr>
              </a:solidFill>
              <a:ln>
                <a:noFill/>
              </a:ln>
              <a:effectLst/>
            </c:spPr>
            <c:extLst>
              <c:ext xmlns:c16="http://schemas.microsoft.com/office/drawing/2014/chart" uri="{C3380CC4-5D6E-409C-BE32-E72D297353CC}">
                <c16:uniqueId val="{00000001-C0D1-44FF-B627-9BE1C9979BBF}"/>
              </c:ext>
            </c:extLst>
          </c:dPt>
          <c:dPt>
            <c:idx val="1"/>
            <c:bubble3D val="0"/>
            <c:spPr>
              <a:solidFill>
                <a:schemeClr val="accent3">
                  <a:alpha val="70000"/>
                </a:schemeClr>
              </a:solidFill>
              <a:ln>
                <a:noFill/>
              </a:ln>
              <a:effectLst/>
            </c:spPr>
            <c:extLst>
              <c:ext xmlns:c16="http://schemas.microsoft.com/office/drawing/2014/chart" uri="{C3380CC4-5D6E-409C-BE32-E72D297353CC}">
                <c16:uniqueId val="{00000003-C0D1-44FF-B627-9BE1C9979BBF}"/>
              </c:ext>
            </c:extLst>
          </c:dPt>
          <c:dLbls>
            <c:dLbl>
              <c:idx val="0"/>
              <c:spPr>
                <a:solidFill>
                  <a:schemeClr val="lt1">
                    <a:alpha val="90000"/>
                  </a:schemeClr>
                </a:solidFill>
                <a:ln w="12700" cap="flat" cmpd="sng" algn="ctr">
                  <a:solidFill>
                    <a:schemeClr val="accent1"/>
                  </a:solidFill>
                  <a:round/>
                </a:ln>
                <a:effectLst>
                  <a:outerShdw blurRad="50800" dist="38100" dir="2700000" algn="tl" rotWithShape="0">
                    <a:schemeClr val="accent1">
                      <a:lumMod val="75000"/>
                      <a:alpha val="40000"/>
                    </a:schemeClr>
                  </a:outerShdw>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accent1"/>
                      </a:solidFill>
                      <a:effectLst/>
                      <a:latin typeface="Times New Roman" panose="02020603050405020304" pitchFamily="18" charset="0"/>
                      <a:ea typeface="+mn-ea"/>
                      <a:cs typeface="Times New Roman" panose="02020603050405020304" pitchFamily="18" charset="0"/>
                    </a:defRPr>
                  </a:pPr>
                  <a:endParaRPr lang="en-US"/>
                </a:p>
              </c:txPr>
              <c:showLegendKey val="0"/>
              <c:showVal val="0"/>
              <c:showCatName val="0"/>
              <c:showSerName val="0"/>
              <c:showPercent val="1"/>
              <c:showBubbleSize val="0"/>
              <c:extLst>
                <c:ext xmlns:c16="http://schemas.microsoft.com/office/drawing/2014/chart" uri="{C3380CC4-5D6E-409C-BE32-E72D297353CC}">
                  <c16:uniqueId val="{00000001-C0D1-44FF-B627-9BE1C9979BBF}"/>
                </c:ext>
              </c:extLst>
            </c:dLbl>
            <c:dLbl>
              <c:idx val="1"/>
              <c:layout>
                <c:manualLayout>
                  <c:x val="-8.6000485327219281E-2"/>
                  <c:y val="4.7908736961385359E-3"/>
                </c:manualLayout>
              </c:layout>
              <c:spPr>
                <a:solidFill>
                  <a:schemeClr val="lt1">
                    <a:alpha val="90000"/>
                  </a:schemeClr>
                </a:solidFill>
                <a:ln w="12700" cap="flat" cmpd="sng" algn="ctr">
                  <a:solidFill>
                    <a:schemeClr val="accent3"/>
                  </a:solidFill>
                  <a:round/>
                </a:ln>
                <a:effectLst>
                  <a:outerShdw blurRad="50800" dist="38100" dir="2700000" algn="tl" rotWithShape="0">
                    <a:schemeClr val="accent3">
                      <a:lumMod val="75000"/>
                      <a:alpha val="40000"/>
                    </a:schemeClr>
                  </a:outerShdw>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accent3"/>
                      </a:solidFill>
                      <a:effectLst/>
                      <a:latin typeface="Times New Roman" panose="02020603050405020304" pitchFamily="18" charset="0"/>
                      <a:ea typeface="+mn-ea"/>
                      <a:cs typeface="Times New Roman" panose="02020603050405020304" pitchFamily="18" charset="0"/>
                    </a:defRPr>
                  </a:pPr>
                  <a:endParaRPr lang="en-US"/>
                </a:p>
              </c:txPr>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0D1-44FF-B627-9BE1C9979BBF}"/>
                </c:ext>
              </c:extLst>
            </c:dLbl>
            <c:spPr>
              <a:solidFill>
                <a:sysClr val="window" lastClr="FFFFFF">
                  <a:alpha val="90000"/>
                </a:sysClr>
              </a:solidFill>
              <a:ln w="12700" cap="flat" cmpd="sng" algn="ctr">
                <a:solidFill>
                  <a:srgbClr val="4472C4"/>
                </a:solidFill>
                <a:round/>
              </a:ln>
              <a:effectLst>
                <a:outerShdw blurRad="50800" dist="38100" dir="2700000" algn="tl" rotWithShape="0">
                  <a:srgbClr val="4472C4">
                    <a:lumMod val="75000"/>
                    <a:alpha val="40000"/>
                  </a:srgbClr>
                </a:outerShdw>
              </a:effectLst>
            </c:spPr>
            <c:txPr>
              <a:bodyPr rot="0" spcFirstLastPara="1" vertOverflow="clip" horzOverflow="clip" vert="horz" wrap="square" lIns="38100" tIns="19050" rIns="38100" bIns="19050" anchor="ctr" anchorCtr="1">
                <a:spAutoFit/>
              </a:bodyPr>
              <a:lstStyle/>
              <a:p>
                <a:pPr>
                  <a:defRPr sz="1100" b="0" i="0" u="none" strike="noStrike" kern="1200" baseline="0">
                    <a:solidFill>
                      <a:schemeClr val="accent1"/>
                    </a:solidFill>
                    <a:effectLst/>
                    <a:latin typeface="+mn-lt"/>
                    <a:ea typeface="+mn-ea"/>
                    <a:cs typeface="+mn-cs"/>
                  </a:defRPr>
                </a:pPr>
                <a:endParaRPr lang="en-US"/>
              </a:p>
            </c:txPr>
            <c:showLegendKey val="0"/>
            <c:showVal val="0"/>
            <c:showCatName val="0"/>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Hoja1!$A$2:$A$3</c:f>
              <c:strCache>
                <c:ptCount val="2"/>
                <c:pt idx="0">
                  <c:v>Minutas entregadas</c:v>
                </c:pt>
                <c:pt idx="1">
                  <c:v>Minutas no entregadas</c:v>
                </c:pt>
              </c:strCache>
            </c:strRef>
          </c:cat>
          <c:val>
            <c:numRef>
              <c:f>Hoja1!$B$2:$B$3</c:f>
              <c:numCache>
                <c:formatCode>0%</c:formatCode>
                <c:ptCount val="2"/>
                <c:pt idx="0">
                  <c:v>1</c:v>
                </c:pt>
                <c:pt idx="1">
                  <c:v>0</c:v>
                </c:pt>
              </c:numCache>
            </c:numRef>
          </c:val>
          <c:extLst>
            <c:ext xmlns:c16="http://schemas.microsoft.com/office/drawing/2014/chart" uri="{C3380CC4-5D6E-409C-BE32-E72D297353CC}">
              <c16:uniqueId val="{00000004-C0D1-44FF-B627-9BE1C9979BBF}"/>
            </c:ext>
          </c:extLst>
        </c:ser>
        <c:dLbls>
          <c:showLegendKey val="0"/>
          <c:showVal val="0"/>
          <c:showCatName val="0"/>
          <c:showSerName val="0"/>
          <c:showPercent val="1"/>
          <c:showBubbleSize val="0"/>
          <c:showLeaderLines val="1"/>
        </c:dLbls>
        <c:firstSliceAng val="0"/>
      </c:pieChart>
      <c:spPr>
        <a:noFill/>
        <a:ln>
          <a:noFill/>
        </a:ln>
        <a:effectLst/>
      </c:spPr>
    </c:plotArea>
    <c:legend>
      <c:legendPos val="t"/>
      <c:layout>
        <c:manualLayout>
          <c:xMode val="edge"/>
          <c:yMode val="edge"/>
          <c:x val="5.0000064488253462E-2"/>
          <c:y val="0.1182675174452751"/>
          <c:w val="0.9"/>
          <c:h val="9.078886598402667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view3D>
    <c:floor>
      <c:thickness val="0"/>
      <c:spPr>
        <a:noFill/>
        <a:ln w="6350" cap="flat" cmpd="sng" algn="ctr">
          <a:solidFill>
            <a:schemeClr val="tx1">
              <a:tint val="75000"/>
            </a:schemeClr>
          </a:solidFill>
          <a:prstDash val="solid"/>
          <a:round/>
        </a:ln>
        <a:effectLst/>
        <a:sp3d contourW="6350">
          <a:contourClr>
            <a:schemeClr val="tx1">
              <a:tint val="75000"/>
            </a:schemeClr>
          </a:contourClr>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8"/>
          <c:dPt>
            <c:idx val="0"/>
            <c:bubble3D val="0"/>
            <c:spPr>
              <a:solidFill>
                <a:schemeClr val="accent1"/>
              </a:solidFill>
              <a:ln>
                <a:noFill/>
              </a:ln>
              <a:effectLst/>
              <a:sp3d/>
            </c:spPr>
            <c:extLst>
              <c:ext xmlns:c16="http://schemas.microsoft.com/office/drawing/2014/chart" uri="{C3380CC4-5D6E-409C-BE32-E72D297353CC}">
                <c16:uniqueId val="{00000001-F139-4F09-B88F-44DDADBEF8A4}"/>
              </c:ext>
            </c:extLst>
          </c:dPt>
          <c:dPt>
            <c:idx val="1"/>
            <c:bubble3D val="0"/>
            <c:spPr>
              <a:solidFill>
                <a:schemeClr val="accent3"/>
              </a:solidFill>
              <a:ln>
                <a:noFill/>
              </a:ln>
              <a:effectLst/>
              <a:sp3d/>
            </c:spPr>
            <c:extLst>
              <c:ext xmlns:c16="http://schemas.microsoft.com/office/drawing/2014/chart" uri="{C3380CC4-5D6E-409C-BE32-E72D297353CC}">
                <c16:uniqueId val="{00000000-F7D5-4AE2-9510-3D9E8E9FFDDD}"/>
              </c:ext>
            </c:extLst>
          </c:dPt>
          <c:dPt>
            <c:idx val="2"/>
            <c:bubble3D val="0"/>
            <c:spPr>
              <a:solidFill>
                <a:schemeClr val="accent5"/>
              </a:solidFill>
              <a:ln>
                <a:noFill/>
              </a:ln>
              <a:effectLst/>
              <a:sp3d/>
            </c:spPr>
            <c:extLst>
              <c:ext xmlns:c16="http://schemas.microsoft.com/office/drawing/2014/chart" uri="{C3380CC4-5D6E-409C-BE32-E72D297353CC}">
                <c16:uniqueId val="{00000001-F7D5-4AE2-9510-3D9E8E9FFDDD}"/>
              </c:ext>
            </c:extLst>
          </c:dPt>
          <c:dLbls>
            <c:dLbl>
              <c:idx val="1"/>
              <c:layout>
                <c:manualLayout>
                  <c:x val="2.609878460756667E-2"/>
                  <c:y val="-6.6571250525431684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7D5-4AE2-9510-3D9E8E9FFDDD}"/>
                </c:ext>
              </c:extLst>
            </c:dLbl>
            <c:dLbl>
              <c:idx val="2"/>
              <c:delete val="1"/>
              <c:extLst>
                <c:ext xmlns:c15="http://schemas.microsoft.com/office/drawing/2012/chart" uri="{CE6537A1-D6FC-4f65-9D91-7224C49458BB}"/>
                <c:ext xmlns:c16="http://schemas.microsoft.com/office/drawing/2014/chart" uri="{C3380CC4-5D6E-409C-BE32-E72D297353CC}">
                  <c16:uniqueId val="{00000001-F7D5-4AE2-9510-3D9E8E9FFDDD}"/>
                </c:ext>
              </c:extLst>
            </c:dLbl>
            <c:spPr>
              <a:noFill/>
              <a:ln>
                <a:noFill/>
              </a:ln>
              <a:effectLst/>
            </c:spPr>
            <c:txPr>
              <a:bodyPr rot="0" spcFirstLastPara="1" vertOverflow="ellipsis" vert="horz" wrap="square" anchor="ctr" anchorCtr="1"/>
              <a:lstStyle/>
              <a:p>
                <a:pPr>
                  <a:defRPr sz="1100" b="1"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1"/>
            <c:leaderLines>
              <c:spPr>
                <a:ln w="6350" cap="flat" cmpd="sng" algn="ctr">
                  <a:solidFill>
                    <a:schemeClr val="tx1"/>
                  </a:solidFill>
                  <a:prstDash val="solid"/>
                  <a:round/>
                </a:ln>
                <a:effectLst/>
              </c:spPr>
            </c:leaderLines>
            <c:extLst>
              <c:ext xmlns:c15="http://schemas.microsoft.com/office/drawing/2012/chart" uri="{CE6537A1-D6FC-4f65-9D91-7224C49458BB}"/>
            </c:extLst>
          </c:dLbls>
          <c:cat>
            <c:strRef>
              <c:f>'[DISPONIBILIDAD SUIR Enero -Diciembre  2025.xlsx]Enero-Diciembre'!$A$3:$A$4</c:f>
              <c:strCache>
                <c:ptCount val="2"/>
                <c:pt idx="0">
                  <c:v>Tiempo De Disponibilidad </c:v>
                </c:pt>
                <c:pt idx="1">
                  <c:v>Tiempo Fuera de Servicio</c:v>
                </c:pt>
              </c:strCache>
            </c:strRef>
          </c:cat>
          <c:val>
            <c:numRef>
              <c:f>'[DISPONIBILIDAD SUIR Enero -Diciembre  2025.xlsx]Enero-Diciembre'!$B$3:$B$4,'[DISPONIBILIDAD SUIR Enero -Diciembre  2025.xlsx]Enero-Diciembre'!$A$21</c:f>
              <c:numCache>
                <c:formatCode>0.00%</c:formatCode>
                <c:ptCount val="3"/>
                <c:pt idx="0">
                  <c:v>0.98770000000000002</c:v>
                </c:pt>
                <c:pt idx="1">
                  <c:v>1.23E-2</c:v>
                </c:pt>
                <c:pt idx="2" formatCode="General">
                  <c:v>0</c:v>
                </c:pt>
              </c:numCache>
            </c:numRef>
          </c:val>
          <c:extLst>
            <c:ext xmlns:c16="http://schemas.microsoft.com/office/drawing/2014/chart" uri="{C3380CC4-5D6E-409C-BE32-E72D297353CC}">
              <c16:uniqueId val="{00000002-F7D5-4AE2-9510-3D9E8E9FFDDD}"/>
            </c:ext>
          </c:extLst>
        </c:ser>
        <c:ser>
          <c:idx val="1"/>
          <c:order val="1"/>
          <c:dPt>
            <c:idx val="0"/>
            <c:bubble3D val="0"/>
            <c:spPr>
              <a:solidFill>
                <a:schemeClr val="accent1"/>
              </a:solidFill>
              <a:ln>
                <a:noFill/>
              </a:ln>
              <a:effectLst/>
              <a:sp3d/>
            </c:spPr>
            <c:extLst>
              <c:ext xmlns:c16="http://schemas.microsoft.com/office/drawing/2014/chart" uri="{C3380CC4-5D6E-409C-BE32-E72D297353CC}">
                <c16:uniqueId val="{00000007-F139-4F09-B88F-44DDADBEF8A4}"/>
              </c:ext>
            </c:extLst>
          </c:dPt>
          <c:cat>
            <c:strRef>
              <c:f>'[DISPONIBILIDAD SUIR Enero -Diciembre  2025.xlsx]Enero-Diciembre'!$A$3:$A$4</c:f>
              <c:strCache>
                <c:ptCount val="2"/>
                <c:pt idx="0">
                  <c:v>Tiempo De Disponibilidad </c:v>
                </c:pt>
                <c:pt idx="1">
                  <c:v>Tiempo Fuera de Servicio</c:v>
                </c:pt>
              </c:strCache>
            </c:strRef>
          </c:cat>
          <c:val>
            <c:numRef>
              <c:f>'[DISPONIBILIDAD SUIR Enero -Diciembre  2025.xlsx]Enero-Diciembre'!$A$21</c:f>
              <c:numCache>
                <c:formatCode>General</c:formatCode>
                <c:ptCount val="1"/>
                <c:pt idx="0">
                  <c:v>0</c:v>
                </c:pt>
              </c:numCache>
            </c:numRef>
          </c:val>
          <c:extLst>
            <c:ext xmlns:c16="http://schemas.microsoft.com/office/drawing/2014/chart" uri="{C3380CC4-5D6E-409C-BE32-E72D297353CC}">
              <c16:uniqueId val="{00000003-F7D5-4AE2-9510-3D9E8E9FFDDD}"/>
            </c:ext>
          </c:extLst>
        </c:ser>
        <c:dLbls>
          <c:showLegendKey val="0"/>
          <c:showVal val="0"/>
          <c:showCatName val="0"/>
          <c:showSerName val="0"/>
          <c:showPercent val="0"/>
          <c:showBubbleSize val="0"/>
          <c:showLeaderLines val="1"/>
        </c:dLbls>
      </c:pie3DChart>
      <c:spPr>
        <a:noFill/>
        <a:ln>
          <a:noFill/>
        </a:ln>
        <a:effectLst/>
      </c:spPr>
    </c:plotArea>
    <c:legend>
      <c:legendPos val="r"/>
      <c:legendEntry>
        <c:idx val="0"/>
        <c:txPr>
          <a:bodyPr rot="0" spcFirstLastPara="1" vertOverflow="ellipsis" vert="horz" wrap="square" anchor="ctr" anchorCtr="1"/>
          <a:lstStyle/>
          <a:p>
            <a:pPr rtl="0">
              <a:defRPr sz="1100" b="0" i="0" u="none" strike="noStrike" kern="1200" baseline="0">
                <a:solidFill>
                  <a:schemeClr val="tx1"/>
                </a:solidFill>
                <a:latin typeface="+mn-lt"/>
                <a:ea typeface="+mn-ea"/>
                <a:cs typeface="+mn-cs"/>
              </a:defRPr>
            </a:pPr>
            <a:endParaRPr lang="en-US"/>
          </a:p>
        </c:txPr>
      </c:legendEntry>
      <c:legendEntry>
        <c:idx val="1"/>
        <c:txPr>
          <a:bodyPr rot="0" spcFirstLastPara="1" vertOverflow="ellipsis" vert="horz" wrap="square" anchor="ctr" anchorCtr="1"/>
          <a:lstStyle/>
          <a:p>
            <a:pPr rtl="0">
              <a:defRPr sz="1050" b="0" i="0" u="none" strike="noStrike" kern="1200" baseline="0">
                <a:solidFill>
                  <a:schemeClr val="tx1"/>
                </a:solidFill>
                <a:latin typeface="+mn-lt"/>
                <a:ea typeface="+mn-ea"/>
                <a:cs typeface="+mn-cs"/>
              </a:defRPr>
            </a:pPr>
            <a:endParaRPr lang="en-US"/>
          </a:p>
        </c:txPr>
      </c:legendEntry>
      <c:legendEntry>
        <c:idx val="2"/>
        <c:delete val="1"/>
      </c:legendEntry>
      <c:overlay val="0"/>
      <c:spPr>
        <a:noFill/>
        <a:ln>
          <a:noFill/>
        </a:ln>
        <a:effectLst/>
      </c:spPr>
      <c:txPr>
        <a:bodyPr rot="0" spcFirstLastPara="1" vertOverflow="ellipsis" vert="horz" wrap="square" anchor="ctr" anchorCtr="1"/>
        <a:lstStyle/>
        <a:p>
          <a:pPr rtl="0">
            <a:defRPr sz="10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6350" cap="flat" cmpd="sng" algn="ctr">
      <a:solidFill>
        <a:schemeClr val="tx1">
          <a:tint val="75000"/>
        </a:schemeClr>
      </a:solidFill>
      <a:prstDash val="solid"/>
      <a:round/>
    </a:ln>
    <a:effectLst/>
  </c:spPr>
  <c:txPr>
    <a:bodyPr/>
    <a:lstStyle/>
    <a:p>
      <a:pPr>
        <a:defRPr/>
      </a:pPr>
      <a:endParaRPr lang="es-DO"/>
    </a:p>
  </c:txPr>
  <c:externalData r:id="rId3">
    <c:autoUpdate val="0"/>
  </c:externalData>
  <c:userShapes r:id="rId4"/>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1"/>
        <c:ser>
          <c:idx val="0"/>
          <c:order val="0"/>
          <c:tx>
            <c:strRef>
              <c:f>Hoja1!$B$1</c:f>
              <c:strCache>
                <c:ptCount val="1"/>
                <c:pt idx="0">
                  <c:v>Excolaboradores con acuerdos evaluados</c:v>
                </c:pt>
              </c:strCache>
            </c:strRef>
          </c:tx>
          <c:invertIfNegative val="0"/>
          <c:dPt>
            <c:idx val="0"/>
            <c:invertIfNegative val="0"/>
            <c:bubble3D val="0"/>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extLst>
              <c:ext xmlns:c16="http://schemas.microsoft.com/office/drawing/2014/chart" uri="{C3380CC4-5D6E-409C-BE32-E72D297353CC}">
                <c16:uniqueId val="{00000001-3402-4040-B9E8-C80199D3412C}"/>
              </c:ext>
            </c:extLst>
          </c:dPt>
          <c:dPt>
            <c:idx val="1"/>
            <c:invertIfNegative val="0"/>
            <c:bubble3D val="0"/>
            <c:spPr>
              <a:solidFill>
                <a:sysClr val="window" lastClr="FFFFFF">
                  <a:lumMod val="50000"/>
                  <a:alpha val="85000"/>
                </a:sysClr>
              </a:solidFill>
              <a:ln w="9525" cap="flat" cmpd="sng" algn="ctr">
                <a:solidFill>
                  <a:sysClr val="window" lastClr="FFFFFF">
                    <a:lumMod val="50000"/>
                  </a:sysClr>
                </a:solidFill>
                <a:round/>
              </a:ln>
              <a:effectLst/>
              <a:sp3d contourW="9525">
                <a:contourClr>
                  <a:sysClr val="window" lastClr="FFFFFF">
                    <a:lumMod val="50000"/>
                  </a:sysClr>
                </a:contourClr>
              </a:sp3d>
            </c:spPr>
            <c:extLst>
              <c:ext xmlns:c16="http://schemas.microsoft.com/office/drawing/2014/chart" uri="{C3380CC4-5D6E-409C-BE32-E72D297353CC}">
                <c16:uniqueId val="{00000003-3402-4040-B9E8-C80199D3412C}"/>
              </c:ext>
            </c:extLst>
          </c:dPt>
          <c:dLbls>
            <c:dLbl>
              <c:idx val="1"/>
              <c:layout>
                <c:manualLayout>
                  <c:x val="0"/>
                  <c:y val="-6.34920634920635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402-4040-B9E8-C80199D3412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Hoja1!$A$2:$A$3</c:f>
              <c:strCache>
                <c:ptCount val="2"/>
                <c:pt idx="0">
                  <c:v>Excolaborados con acuerdos evaluados</c:v>
                </c:pt>
                <c:pt idx="1">
                  <c:v>Excolaborados sin evaluar (vacante temporal 3 meses)</c:v>
                </c:pt>
              </c:strCache>
            </c:strRef>
          </c:cat>
          <c:val>
            <c:numRef>
              <c:f>Hoja1!$B$2:$B$3</c:f>
              <c:numCache>
                <c:formatCode>General</c:formatCode>
                <c:ptCount val="2"/>
                <c:pt idx="0">
                  <c:v>19</c:v>
                </c:pt>
                <c:pt idx="1">
                  <c:v>1</c:v>
                </c:pt>
              </c:numCache>
            </c:numRef>
          </c:val>
          <c:extLst>
            <c:ext xmlns:c16="http://schemas.microsoft.com/office/drawing/2014/chart" uri="{C3380CC4-5D6E-409C-BE32-E72D297353CC}">
              <c16:uniqueId val="{00000004-3402-4040-B9E8-C80199D3412C}"/>
            </c:ext>
          </c:extLst>
        </c:ser>
        <c:dLbls>
          <c:showLegendKey val="0"/>
          <c:showVal val="1"/>
          <c:showCatName val="0"/>
          <c:showSerName val="0"/>
          <c:showPercent val="0"/>
          <c:showBubbleSize val="0"/>
        </c:dLbls>
        <c:gapWidth val="65"/>
        <c:shape val="box"/>
        <c:axId val="1691312543"/>
        <c:axId val="1691301023"/>
        <c:axId val="0"/>
      </c:bar3DChart>
      <c:catAx>
        <c:axId val="1691312543"/>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n-US"/>
          </a:p>
        </c:txPr>
        <c:crossAx val="1691301023"/>
        <c:crosses val="autoZero"/>
        <c:auto val="1"/>
        <c:lblAlgn val="ctr"/>
        <c:lblOffset val="100"/>
        <c:noMultiLvlLbl val="0"/>
      </c:catAx>
      <c:valAx>
        <c:axId val="1691301023"/>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n-US"/>
          </a:p>
        </c:txPr>
        <c:crossAx val="1691312543"/>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n-US" sz="1100" b="0"/>
              <a:t>Competencias detectadas por Grupo Ocupacional</a:t>
            </a:r>
          </a:p>
        </c:rich>
      </c:tx>
      <c:layout>
        <c:manualLayout>
          <c:xMode val="edge"/>
          <c:yMode val="edge"/>
          <c:x val="0.2095961338166063"/>
          <c:y val="4.2946223650294844E-2"/>
        </c:manualLayout>
      </c:layout>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autoTitleDeleted val="0"/>
    <c:view3D>
      <c:rotX val="30"/>
      <c:rotY val="256"/>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3539940840728243"/>
          <c:y val="1.0564598707672752E-2"/>
          <c:w val="0.67323165732158807"/>
          <c:h val="0.98578061845288878"/>
        </c:manualLayout>
      </c:layout>
      <c:pie3DChart>
        <c:varyColors val="1"/>
        <c:ser>
          <c:idx val="0"/>
          <c:order val="0"/>
          <c:tx>
            <c:strRef>
              <c:f>Hoja1!$B$1</c:f>
              <c:strCache>
                <c:ptCount val="1"/>
                <c:pt idx="0">
                  <c:v>Serie1</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8DCA-4F4C-81D7-5CC02AB1EB11}"/>
              </c:ext>
            </c:extLst>
          </c:dPt>
          <c:dPt>
            <c:idx val="1"/>
            <c:bubble3D val="0"/>
            <c:explosion val="2"/>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3-8DCA-4F4C-81D7-5CC02AB1EB11}"/>
              </c:ext>
            </c:extLst>
          </c:dPt>
          <c:dPt>
            <c:idx val="2"/>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5-8DCA-4F4C-81D7-5CC02AB1EB11}"/>
              </c:ext>
            </c:extLst>
          </c:dPt>
          <c:dPt>
            <c:idx val="3"/>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7-8DCA-4F4C-81D7-5CC02AB1EB11}"/>
              </c:ext>
            </c:extLst>
          </c:dPt>
          <c:dLbls>
            <c:dLbl>
              <c:idx val="0"/>
              <c:tx>
                <c:rich>
                  <a:bodyPr/>
                  <a:lstStyle/>
                  <a:p>
                    <a:fld id="{35680796-D2A5-4CD4-B425-0ADDD3FFBB54}" type="CATEGORYNAME">
                      <a:rPr lang="en-US" b="0"/>
                      <a:pPr/>
                      <a:t>[CATEGORY NAME]</a:t>
                    </a:fld>
                    <a:r>
                      <a:rPr lang="en-US" b="0"/>
                      <a:t>, </a:t>
                    </a:r>
                    <a:fld id="{4B9179A5-40F2-4452-A0BD-1EA4D0776174}" type="VALUE">
                      <a:rPr lang="en-US" b="0"/>
                      <a:pPr/>
                      <a:t>[VALUE]</a:t>
                    </a:fld>
                    <a:endParaRPr lang="en-US" b="0"/>
                  </a:p>
                </c:rich>
              </c:tx>
              <c:dLblPos val="outEnd"/>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8DCA-4F4C-81D7-5CC02AB1EB11}"/>
                </c:ext>
              </c:extLst>
            </c:dLbl>
            <c:dLbl>
              <c:idx val="2"/>
              <c:tx>
                <c:rich>
                  <a:bodyPr/>
                  <a:lstStyle/>
                  <a:p>
                    <a:fld id="{67944E15-AD25-4F38-B79A-0EA4F9F9E57B}" type="CATEGORYNAME">
                      <a:rPr lang="en-US" b="0"/>
                      <a:pPr/>
                      <a:t>[CATEGORY NAME]</a:t>
                    </a:fld>
                    <a:r>
                      <a:rPr lang="en-US" b="0"/>
                      <a:t>, </a:t>
                    </a:r>
                    <a:fld id="{60518680-8EC3-43C5-8E92-4ADDE825C66E}" type="VALUE">
                      <a:rPr lang="en-US" b="0"/>
                      <a:pPr/>
                      <a:t>[VALUE]</a:t>
                    </a:fld>
                    <a:endParaRPr lang="en-US" b="0"/>
                  </a:p>
                </c:rich>
              </c:tx>
              <c:dLblPos val="outEnd"/>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8DCA-4F4C-81D7-5CC02AB1EB11}"/>
                </c:ext>
              </c:extLst>
            </c:dLbl>
            <c:dLbl>
              <c:idx val="3"/>
              <c:tx>
                <c:rich>
                  <a:bodyPr/>
                  <a:lstStyle/>
                  <a:p>
                    <a:fld id="{E3BB30D2-6027-45F8-829B-0854FE7A4093}" type="CATEGORYNAME">
                      <a:rPr lang="en-US" b="0"/>
                      <a:pPr/>
                      <a:t>[CATEGORY NAME]</a:t>
                    </a:fld>
                    <a:r>
                      <a:rPr lang="en-US" b="0"/>
                      <a:t>, </a:t>
                    </a:r>
                    <a:fld id="{84A226FC-8740-4B5B-B2AB-C57CED38FAB0}" type="VALUE">
                      <a:rPr lang="en-US" b="0"/>
                      <a:pPr/>
                      <a:t>[VALUE]</a:t>
                    </a:fld>
                    <a:endParaRPr lang="en-US" b="0"/>
                  </a:p>
                </c:rich>
              </c:tx>
              <c:dLblPos val="outEnd"/>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8DCA-4F4C-81D7-5CC02AB1EB11}"/>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Hoja1!$A$2:$A$5</c:f>
              <c:strCache>
                <c:ptCount val="4"/>
                <c:pt idx="0">
                  <c:v>Grupo V</c:v>
                </c:pt>
                <c:pt idx="1">
                  <c:v>Grupo IV</c:v>
                </c:pt>
                <c:pt idx="2">
                  <c:v>Grupo III</c:v>
                </c:pt>
                <c:pt idx="3">
                  <c:v>Grupo II </c:v>
                </c:pt>
              </c:strCache>
            </c:strRef>
          </c:cat>
          <c:val>
            <c:numRef>
              <c:f>Hoja1!$B$2:$B$5</c:f>
              <c:numCache>
                <c:formatCode>General</c:formatCode>
                <c:ptCount val="4"/>
                <c:pt idx="0">
                  <c:v>68</c:v>
                </c:pt>
                <c:pt idx="1">
                  <c:v>147</c:v>
                </c:pt>
                <c:pt idx="2">
                  <c:v>50</c:v>
                </c:pt>
                <c:pt idx="3">
                  <c:v>70</c:v>
                </c:pt>
              </c:numCache>
            </c:numRef>
          </c:val>
          <c:extLst>
            <c:ext xmlns:c16="http://schemas.microsoft.com/office/drawing/2014/chart" uri="{C3380CC4-5D6E-409C-BE32-E72D297353CC}">
              <c16:uniqueId val="{00000008-8DCA-4F4C-81D7-5CC02AB1EB11}"/>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a:solidFill>
            <a:schemeClr val="tx1">
              <a:lumMod val="50000"/>
              <a:lumOff val="50000"/>
            </a:schemeClr>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229653914078584"/>
          <c:y val="0.17922917530045587"/>
          <c:w val="0.80299077670370766"/>
          <c:h val="0.71485374826367343"/>
        </c:manualLayout>
      </c:layout>
      <c:barChart>
        <c:barDir val="col"/>
        <c:grouping val="stacked"/>
        <c:varyColors val="0"/>
        <c:ser>
          <c:idx val="0"/>
          <c:order val="0"/>
          <c:tx>
            <c:strRef>
              <c:f>Hoja1!$B$1</c:f>
              <c:strCache>
                <c:ptCount val="1"/>
                <c:pt idx="0">
                  <c:v>Competencias dotadas año 2025</c:v>
                </c:pt>
              </c:strCache>
            </c:strRef>
          </c:tx>
          <c:spPr>
            <a:gradFill>
              <a:gsLst>
                <a:gs pos="0">
                  <a:sysClr val="window" lastClr="FFFFFF">
                    <a:lumMod val="65000"/>
                  </a:sysClr>
                </a:gs>
                <a:gs pos="74000">
                  <a:srgbClr val="4472C4">
                    <a:lumMod val="45000"/>
                    <a:lumOff val="55000"/>
                  </a:srgbClr>
                </a:gs>
                <a:gs pos="83000">
                  <a:srgbClr val="4472C4">
                    <a:lumMod val="45000"/>
                    <a:lumOff val="55000"/>
                  </a:srgbClr>
                </a:gs>
                <a:gs pos="100000">
                  <a:srgbClr val="4472C4">
                    <a:lumMod val="30000"/>
                    <a:lumOff val="70000"/>
                  </a:srgbClr>
                </a:gs>
              </a:gsLst>
              <a:lin ang="5400000" scaled="1"/>
            </a:gradFill>
            <a:ln w="9525" cap="flat" cmpd="sng" algn="ctr">
              <a:solidFill>
                <a:schemeClr val="lt1">
                  <a:alpha val="50000"/>
                </a:schemeClr>
              </a:solidFill>
              <a:round/>
            </a:ln>
            <a:effectLst>
              <a:outerShdw blurRad="76200" dir="18900000" sy="23000" kx="-1200000" algn="bl" rotWithShape="0">
                <a:prstClr val="black">
                  <a:alpha val="20000"/>
                </a:prstClr>
              </a:outerShdw>
            </a:effectLst>
          </c:spPr>
          <c:invertIfNegative val="0"/>
          <c:dPt>
            <c:idx val="0"/>
            <c:invertIfNegative val="0"/>
            <c:bubble3D val="0"/>
            <c:extLst>
              <c:ext xmlns:c16="http://schemas.microsoft.com/office/drawing/2014/chart" uri="{C3380CC4-5D6E-409C-BE32-E72D297353CC}">
                <c16:uniqueId val="{00000000-373C-4CBD-8F8B-D660561F2421}"/>
              </c:ext>
            </c:extLst>
          </c:dPt>
          <c:dPt>
            <c:idx val="1"/>
            <c:invertIfNegative val="0"/>
            <c:bubble3D val="0"/>
            <c:spPr>
              <a:gradFill>
                <a:gsLst>
                  <a:gs pos="0">
                    <a:sysClr val="window" lastClr="FFFFFF">
                      <a:lumMod val="65000"/>
                    </a:sysClr>
                  </a:gs>
                  <a:gs pos="74000">
                    <a:srgbClr val="4472C4">
                      <a:lumMod val="45000"/>
                      <a:lumOff val="55000"/>
                    </a:srgbClr>
                  </a:gs>
                  <a:gs pos="83000">
                    <a:srgbClr val="4472C4">
                      <a:lumMod val="45000"/>
                      <a:lumOff val="55000"/>
                    </a:srgbClr>
                  </a:gs>
                  <a:gs pos="100000">
                    <a:srgbClr val="4472C4">
                      <a:lumMod val="30000"/>
                      <a:lumOff val="70000"/>
                    </a:srgbClr>
                  </a:gs>
                </a:gsLst>
                <a:lin ang="5400000" scaled="1"/>
              </a:gradFill>
              <a:ln w="9525" cap="flat" cmpd="sng" algn="ctr">
                <a:solidFill>
                  <a:schemeClr val="lt1">
                    <a:alpha val="50000"/>
                  </a:schemeClr>
                </a:solidFill>
                <a:round/>
              </a:ln>
              <a:effectLst>
                <a:outerShdw blurRad="76200" dir="18900000" sy="23000" kx="-1200000" algn="bl" rotWithShape="0">
                  <a:prstClr val="black">
                    <a:alpha val="20000"/>
                  </a:prstClr>
                </a:outerShdw>
              </a:effectLst>
            </c:spPr>
            <c:extLst>
              <c:ext xmlns:c16="http://schemas.microsoft.com/office/drawing/2014/chart" uri="{C3380CC4-5D6E-409C-BE32-E72D297353CC}">
                <c16:uniqueId val="{00000002-373C-4CBD-8F8B-D660561F2421}"/>
              </c:ext>
            </c:extLst>
          </c:dPt>
          <c:dLbls>
            <c:spPr>
              <a:noFill/>
              <a:ln>
                <a:noFill/>
              </a:ln>
              <a:effectLst/>
            </c:spPr>
            <c:txPr>
              <a:bodyPr rot="0" spcFirstLastPara="1" vertOverflow="ellipsis" vert="horz" wrap="square" anchor="ctr" anchorCtr="1"/>
              <a:lstStyle/>
              <a:p>
                <a:pPr>
                  <a:defRPr sz="900" b="1"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Hoja1!$A$2:$A$3</c:f>
              <c:strCache>
                <c:ptCount val="2"/>
                <c:pt idx="0">
                  <c:v>Competencias programadas 2025</c:v>
                </c:pt>
                <c:pt idx="1">
                  <c:v>Competencias dotadas hasta la fecha</c:v>
                </c:pt>
              </c:strCache>
            </c:strRef>
          </c:cat>
          <c:val>
            <c:numRef>
              <c:f>Hoja1!$B$2:$B$3</c:f>
              <c:numCache>
                <c:formatCode>General</c:formatCode>
                <c:ptCount val="2"/>
                <c:pt idx="0">
                  <c:v>376</c:v>
                </c:pt>
                <c:pt idx="1">
                  <c:v>335</c:v>
                </c:pt>
              </c:numCache>
            </c:numRef>
          </c:val>
          <c:extLst>
            <c:ext xmlns:c16="http://schemas.microsoft.com/office/drawing/2014/chart" uri="{C3380CC4-5D6E-409C-BE32-E72D297353CC}">
              <c16:uniqueId val="{00000003-373C-4CBD-8F8B-D660561F2421}"/>
            </c:ext>
          </c:extLst>
        </c:ser>
        <c:dLbls>
          <c:showLegendKey val="0"/>
          <c:showVal val="1"/>
          <c:showCatName val="0"/>
          <c:showSerName val="0"/>
          <c:showPercent val="0"/>
          <c:showBubbleSize val="0"/>
        </c:dLbls>
        <c:gapWidth val="75"/>
        <c:overlap val="100"/>
        <c:axId val="836554912"/>
        <c:axId val="836573632"/>
      </c:barChart>
      <c:catAx>
        <c:axId val="836554912"/>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crossAx val="836573632"/>
        <c:crosses val="autoZero"/>
        <c:auto val="1"/>
        <c:lblAlgn val="ctr"/>
        <c:lblOffset val="100"/>
        <c:noMultiLvlLbl val="0"/>
      </c:catAx>
      <c:valAx>
        <c:axId val="83657363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crossAx val="83655491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solidFill>
            <a:schemeClr val="tx1">
              <a:lumMod val="50000"/>
              <a:lumOff val="50000"/>
            </a:schemeClr>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Competencias detectadas blandas y duras</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2579743321558493"/>
          <c:y val="0.24658351907519444"/>
          <c:w val="0.73243147238174178"/>
          <c:h val="0.68450364197963942"/>
        </c:manualLayout>
      </c:layout>
      <c:bar3DChart>
        <c:barDir val="bar"/>
        <c:grouping val="stacked"/>
        <c:varyColors val="0"/>
        <c:ser>
          <c:idx val="0"/>
          <c:order val="0"/>
          <c:tx>
            <c:strRef>
              <c:f>Hoja1!$B$1</c:f>
              <c:strCache>
                <c:ptCount val="1"/>
                <c:pt idx="0">
                  <c:v>Competencias detectadas blandas y concretas</c:v>
                </c:pt>
              </c:strCache>
            </c:strRef>
          </c:tx>
          <c:spPr>
            <a:solidFill>
              <a:schemeClr val="accent1"/>
            </a:solidFill>
            <a:ln>
              <a:noFill/>
            </a:ln>
            <a:effectLst/>
            <a:sp3d/>
          </c:spPr>
          <c:invertIfNegative val="0"/>
          <c:dPt>
            <c:idx val="0"/>
            <c:invertIfNegative val="0"/>
            <c:bubble3D val="0"/>
            <c:extLst>
              <c:ext xmlns:c16="http://schemas.microsoft.com/office/drawing/2014/chart" uri="{C3380CC4-5D6E-409C-BE32-E72D297353CC}">
                <c16:uniqueId val="{00000000-E046-45E9-8B6B-574A09A0F60F}"/>
              </c:ext>
            </c:extLst>
          </c:dPt>
          <c:dPt>
            <c:idx val="1"/>
            <c:invertIfNegative val="0"/>
            <c:bubble3D val="0"/>
            <c:extLst>
              <c:ext xmlns:c16="http://schemas.microsoft.com/office/drawing/2014/chart" uri="{C3380CC4-5D6E-409C-BE32-E72D297353CC}">
                <c16:uniqueId val="{00000001-E046-45E9-8B6B-574A09A0F60F}"/>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Hoja1!$A$2:$A$3</c:f>
              <c:strCache>
                <c:ptCount val="2"/>
                <c:pt idx="0">
                  <c:v>Duras</c:v>
                </c:pt>
                <c:pt idx="1">
                  <c:v>Blandas</c:v>
                </c:pt>
              </c:strCache>
            </c:strRef>
          </c:cat>
          <c:val>
            <c:numRef>
              <c:f>Hoja1!$B$2:$B$3</c:f>
              <c:numCache>
                <c:formatCode>General</c:formatCode>
                <c:ptCount val="2"/>
                <c:pt idx="0">
                  <c:v>230</c:v>
                </c:pt>
                <c:pt idx="1">
                  <c:v>146</c:v>
                </c:pt>
              </c:numCache>
            </c:numRef>
          </c:val>
          <c:extLst>
            <c:ext xmlns:c16="http://schemas.microsoft.com/office/drawing/2014/chart" uri="{C3380CC4-5D6E-409C-BE32-E72D297353CC}">
              <c16:uniqueId val="{00000002-E046-45E9-8B6B-574A09A0F60F}"/>
            </c:ext>
          </c:extLst>
        </c:ser>
        <c:dLbls>
          <c:showLegendKey val="0"/>
          <c:showVal val="1"/>
          <c:showCatName val="0"/>
          <c:showSerName val="0"/>
          <c:showPercent val="0"/>
          <c:showBubbleSize val="0"/>
        </c:dLbls>
        <c:gapWidth val="150"/>
        <c:shape val="box"/>
        <c:axId val="839101952"/>
        <c:axId val="839122112"/>
        <c:axId val="0"/>
      </c:bar3DChart>
      <c:catAx>
        <c:axId val="83910195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839122112"/>
        <c:crosses val="autoZero"/>
        <c:auto val="1"/>
        <c:lblAlgn val="ctr"/>
        <c:lblOffset val="100"/>
        <c:noMultiLvlLbl val="0"/>
      </c:catAx>
      <c:valAx>
        <c:axId val="83912211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83910195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sz="9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s-ES" sz="1100" b="0"/>
              <a:t>Í</a:t>
            </a:r>
            <a:r>
              <a:rPr lang="en-US" sz="1100" b="0"/>
              <a:t>ndice de satisfacción de los Servicios Brindados Enero-Diciembre 2025</a:t>
            </a: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strRef>
              <c:f>Hoja1!$B$1</c:f>
              <c:strCache>
                <c:ptCount val="1"/>
                <c:pt idx="0">
                  <c:v>Índice de satisfacción de los Servicios Brindados</c:v>
                </c:pt>
              </c:strCache>
            </c:strRef>
          </c:tx>
          <c:spPr>
            <a:solidFill>
              <a:srgbClr val="1F4E79"/>
            </a:solidFill>
            <a:ln>
              <a:noFill/>
            </a:ln>
            <a:effectLst/>
          </c:spPr>
          <c:invertIfNegative val="0"/>
          <c:dPt>
            <c:idx val="0"/>
            <c:invertIfNegative val="0"/>
            <c:bubble3D val="0"/>
            <c:spPr>
              <a:solidFill>
                <a:schemeClr val="accent1">
                  <a:lumMod val="50000"/>
                </a:schemeClr>
              </a:solidFill>
              <a:ln>
                <a:noFill/>
              </a:ln>
              <a:effectLst/>
            </c:spPr>
            <c:extLst>
              <c:ext xmlns:c16="http://schemas.microsoft.com/office/drawing/2014/chart" uri="{C3380CC4-5D6E-409C-BE32-E72D297353CC}">
                <c16:uniqueId val="{00000001-5D69-4D39-94AC-9EEA5E7B693B}"/>
              </c:ext>
            </c:extLst>
          </c:dPt>
          <c:dPt>
            <c:idx val="1"/>
            <c:invertIfNegative val="0"/>
            <c:bubble3D val="0"/>
            <c:spPr>
              <a:solidFill>
                <a:schemeClr val="accent1">
                  <a:lumMod val="50000"/>
                </a:schemeClr>
              </a:solidFill>
              <a:ln>
                <a:noFill/>
              </a:ln>
              <a:effectLst/>
            </c:spPr>
            <c:extLst>
              <c:ext xmlns:c16="http://schemas.microsoft.com/office/drawing/2014/chart" uri="{C3380CC4-5D6E-409C-BE32-E72D297353CC}">
                <c16:uniqueId val="{00000003-5D69-4D39-94AC-9EEA5E7B693B}"/>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Hoja1!$A$2:$A$3</c:f>
              <c:strCache>
                <c:ptCount val="2"/>
                <c:pt idx="0">
                  <c:v>1er Semestre </c:v>
                </c:pt>
                <c:pt idx="1">
                  <c:v>2do Semestre</c:v>
                </c:pt>
              </c:strCache>
            </c:strRef>
          </c:cat>
          <c:val>
            <c:numRef>
              <c:f>Hoja1!$B$2:$B$3</c:f>
              <c:numCache>
                <c:formatCode>0%</c:formatCode>
                <c:ptCount val="2"/>
                <c:pt idx="0">
                  <c:v>0.94</c:v>
                </c:pt>
                <c:pt idx="1">
                  <c:v>0.93</c:v>
                </c:pt>
              </c:numCache>
            </c:numRef>
          </c:val>
          <c:extLst>
            <c:ext xmlns:c16="http://schemas.microsoft.com/office/drawing/2014/chart" uri="{C3380CC4-5D6E-409C-BE32-E72D297353CC}">
              <c16:uniqueId val="{00000004-5D69-4D39-94AC-9EEA5E7B693B}"/>
            </c:ext>
          </c:extLst>
        </c:ser>
        <c:dLbls>
          <c:dLblPos val="outEnd"/>
          <c:showLegendKey val="0"/>
          <c:showVal val="1"/>
          <c:showCatName val="0"/>
          <c:showSerName val="0"/>
          <c:showPercent val="0"/>
          <c:showBubbleSize val="0"/>
        </c:dLbls>
        <c:gapWidth val="219"/>
        <c:overlap val="-27"/>
        <c:axId val="856011407"/>
        <c:axId val="856014767"/>
      </c:barChart>
      <c:catAx>
        <c:axId val="8560114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crossAx val="856014767"/>
        <c:crosses val="autoZero"/>
        <c:auto val="1"/>
        <c:lblAlgn val="ctr"/>
        <c:lblOffset val="100"/>
        <c:noMultiLvlLbl val="0"/>
      </c:catAx>
      <c:valAx>
        <c:axId val="856014767"/>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crossAx val="856011407"/>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chemeClr val="tx1">
              <a:lumMod val="50000"/>
              <a:lumOff val="50000"/>
            </a:schemeClr>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s-ES" sz="1200" b="0">
                <a:solidFill>
                  <a:schemeClr val="tx1">
                    <a:lumMod val="50000"/>
                    <a:lumOff val="50000"/>
                  </a:schemeClr>
                </a:solidFill>
                <a:latin typeface="Times New Roman" panose="02020603050405020304" pitchFamily="18" charset="0"/>
                <a:cs typeface="Times New Roman" panose="02020603050405020304" pitchFamily="18" charset="0"/>
              </a:rPr>
              <a:t>Quejas</a:t>
            </a:r>
            <a:r>
              <a:rPr lang="es-ES" sz="1200" b="0" baseline="0">
                <a:solidFill>
                  <a:schemeClr val="tx1">
                    <a:lumMod val="50000"/>
                    <a:lumOff val="50000"/>
                  </a:schemeClr>
                </a:solidFill>
                <a:latin typeface="Times New Roman" panose="02020603050405020304" pitchFamily="18" charset="0"/>
                <a:cs typeface="Times New Roman" panose="02020603050405020304" pitchFamily="18" charset="0"/>
              </a:rPr>
              <a:t> y Sugerencias por mes</a:t>
            </a:r>
            <a:endParaRPr lang="es-ES" sz="1200" b="0">
              <a:solidFill>
                <a:schemeClr val="tx1">
                  <a:lumMod val="50000"/>
                  <a:lumOff val="50000"/>
                </a:schemeClr>
              </a:solidFill>
              <a:latin typeface="Times New Roman" panose="02020603050405020304" pitchFamily="18" charset="0"/>
              <a:cs typeface="Times New Roman" panose="02020603050405020304" pitchFamily="18" charset="0"/>
            </a:endParaRPr>
          </a:p>
        </c:rich>
      </c:tx>
      <c:layout>
        <c:manualLayout>
          <c:xMode val="edge"/>
          <c:yMode val="edge"/>
          <c:x val="0.30656472449248617"/>
          <c:y val="4.2512990080302314E-2"/>
        </c:manualLayout>
      </c:layout>
      <c:overlay val="0"/>
      <c:spPr>
        <a:solidFill>
          <a:schemeClr val="bg1"/>
        </a:solid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ES"/>
        </a:p>
      </c:txPr>
    </c:title>
    <c:autoTitleDeleted val="0"/>
    <c:plotArea>
      <c:layout/>
      <c:barChart>
        <c:barDir val="col"/>
        <c:grouping val="clustered"/>
        <c:varyColors val="0"/>
        <c:ser>
          <c:idx val="0"/>
          <c:order val="0"/>
          <c:tx>
            <c:strRef>
              <c:f>Hoja1!$B$1</c:f>
              <c:strCache>
                <c:ptCount val="1"/>
                <c:pt idx="0">
                  <c:v>Quejas</c:v>
                </c:pt>
              </c:strCache>
            </c:strRef>
          </c:tx>
          <c:spPr>
            <a:solidFill>
              <a:srgbClr val="002060"/>
            </a:solidFill>
            <a:ln>
              <a:noFill/>
            </a:ln>
            <a:effectLst/>
          </c:spPr>
          <c:invertIfNegative val="0"/>
          <c:dPt>
            <c:idx val="0"/>
            <c:invertIfNegative val="0"/>
            <c:bubble3D val="0"/>
            <c:spPr>
              <a:solidFill>
                <a:srgbClr val="002060"/>
              </a:solidFill>
              <a:ln>
                <a:noFill/>
              </a:ln>
              <a:effectLst/>
            </c:spPr>
            <c:extLst>
              <c:ext xmlns:c16="http://schemas.microsoft.com/office/drawing/2014/chart" uri="{C3380CC4-5D6E-409C-BE32-E72D297353CC}">
                <c16:uniqueId val="{00000001-39AF-4952-8FDE-85D1F3008CE8}"/>
              </c:ext>
            </c:extLst>
          </c:dPt>
          <c:dPt>
            <c:idx val="1"/>
            <c:invertIfNegative val="0"/>
            <c:bubble3D val="0"/>
            <c:spPr>
              <a:solidFill>
                <a:srgbClr val="002060"/>
              </a:solidFill>
              <a:ln>
                <a:noFill/>
              </a:ln>
              <a:effectLst/>
            </c:spPr>
            <c:extLst>
              <c:ext xmlns:c16="http://schemas.microsoft.com/office/drawing/2014/chart" uri="{C3380CC4-5D6E-409C-BE32-E72D297353CC}">
                <c16:uniqueId val="{00000003-39AF-4952-8FDE-85D1F3008CE8}"/>
              </c:ext>
            </c:extLst>
          </c:dPt>
          <c:dPt>
            <c:idx val="2"/>
            <c:invertIfNegative val="0"/>
            <c:bubble3D val="0"/>
            <c:spPr>
              <a:solidFill>
                <a:srgbClr val="002060"/>
              </a:solidFill>
              <a:ln>
                <a:noFill/>
              </a:ln>
              <a:effectLst/>
            </c:spPr>
            <c:extLst>
              <c:ext xmlns:c16="http://schemas.microsoft.com/office/drawing/2014/chart" uri="{C3380CC4-5D6E-409C-BE32-E72D297353CC}">
                <c16:uniqueId val="{00000005-39AF-4952-8FDE-85D1F3008CE8}"/>
              </c:ext>
            </c:extLst>
          </c:dPt>
          <c:dPt>
            <c:idx val="3"/>
            <c:invertIfNegative val="0"/>
            <c:bubble3D val="0"/>
            <c:spPr>
              <a:solidFill>
                <a:srgbClr val="002060"/>
              </a:solidFill>
              <a:ln>
                <a:noFill/>
              </a:ln>
              <a:effectLst/>
            </c:spPr>
            <c:extLst>
              <c:ext xmlns:c16="http://schemas.microsoft.com/office/drawing/2014/chart" uri="{C3380CC4-5D6E-409C-BE32-E72D297353CC}">
                <c16:uniqueId val="{00000007-39AF-4952-8FDE-85D1F3008CE8}"/>
              </c:ext>
            </c:extLst>
          </c:dPt>
          <c:dPt>
            <c:idx val="4"/>
            <c:invertIfNegative val="0"/>
            <c:bubble3D val="0"/>
            <c:spPr>
              <a:solidFill>
                <a:srgbClr val="002060"/>
              </a:solidFill>
              <a:ln>
                <a:noFill/>
              </a:ln>
              <a:effectLst/>
            </c:spPr>
            <c:extLst>
              <c:ext xmlns:c16="http://schemas.microsoft.com/office/drawing/2014/chart" uri="{C3380CC4-5D6E-409C-BE32-E72D297353CC}">
                <c16:uniqueId val="{00000009-39AF-4952-8FDE-85D1F3008CE8}"/>
              </c:ext>
            </c:extLst>
          </c:dPt>
          <c:dPt>
            <c:idx val="5"/>
            <c:invertIfNegative val="0"/>
            <c:bubble3D val="0"/>
            <c:spPr>
              <a:solidFill>
                <a:srgbClr val="002060"/>
              </a:solidFill>
              <a:ln>
                <a:noFill/>
              </a:ln>
              <a:effectLst/>
            </c:spPr>
            <c:extLst>
              <c:ext xmlns:c16="http://schemas.microsoft.com/office/drawing/2014/chart" uri="{C3380CC4-5D6E-409C-BE32-E72D297353CC}">
                <c16:uniqueId val="{0000000B-39AF-4952-8FDE-85D1F3008CE8}"/>
              </c:ext>
            </c:extLst>
          </c:dPt>
          <c:cat>
            <c:strRef>
              <c:f>Hoja1!$A$2:$A$13</c:f>
              <c:strCache>
                <c:ptCount val="12"/>
                <c:pt idx="0">
                  <c:v>Enero </c:v>
                </c:pt>
                <c:pt idx="1">
                  <c:v>Feb</c:v>
                </c:pt>
                <c:pt idx="2">
                  <c:v>Marzo</c:v>
                </c:pt>
                <c:pt idx="3">
                  <c:v>Abril</c:v>
                </c:pt>
                <c:pt idx="4">
                  <c:v>Mayo</c:v>
                </c:pt>
                <c:pt idx="5">
                  <c:v>Junio</c:v>
                </c:pt>
                <c:pt idx="6">
                  <c:v>Jul</c:v>
                </c:pt>
                <c:pt idx="7">
                  <c:v>Aug</c:v>
                </c:pt>
                <c:pt idx="8">
                  <c:v>Sep</c:v>
                </c:pt>
                <c:pt idx="9">
                  <c:v>Oct</c:v>
                </c:pt>
                <c:pt idx="10">
                  <c:v>Nov</c:v>
                </c:pt>
                <c:pt idx="11">
                  <c:v>Dic</c:v>
                </c:pt>
              </c:strCache>
            </c:strRef>
          </c:cat>
          <c:val>
            <c:numRef>
              <c:f>Hoja1!$B$2:$B$13</c:f>
              <c:numCache>
                <c:formatCode>General</c:formatCode>
                <c:ptCount val="12"/>
                <c:pt idx="0">
                  <c:v>63</c:v>
                </c:pt>
                <c:pt idx="1">
                  <c:v>52</c:v>
                </c:pt>
                <c:pt idx="2">
                  <c:v>55</c:v>
                </c:pt>
                <c:pt idx="3">
                  <c:v>49</c:v>
                </c:pt>
                <c:pt idx="4">
                  <c:v>62</c:v>
                </c:pt>
                <c:pt idx="5">
                  <c:v>57</c:v>
                </c:pt>
                <c:pt idx="6">
                  <c:v>62</c:v>
                </c:pt>
                <c:pt idx="7">
                  <c:v>54</c:v>
                </c:pt>
                <c:pt idx="8">
                  <c:v>50</c:v>
                </c:pt>
                <c:pt idx="9">
                  <c:v>88</c:v>
                </c:pt>
                <c:pt idx="10">
                  <c:v>60</c:v>
                </c:pt>
                <c:pt idx="11">
                  <c:v>59</c:v>
                </c:pt>
              </c:numCache>
            </c:numRef>
          </c:val>
          <c:extLst>
            <c:ext xmlns:c16="http://schemas.microsoft.com/office/drawing/2014/chart" uri="{C3380CC4-5D6E-409C-BE32-E72D297353CC}">
              <c16:uniqueId val="{0000000C-39AF-4952-8FDE-85D1F3008CE8}"/>
            </c:ext>
          </c:extLst>
        </c:ser>
        <c:ser>
          <c:idx val="1"/>
          <c:order val="1"/>
          <c:tx>
            <c:strRef>
              <c:f>Hoja1!$C$1</c:f>
              <c:strCache>
                <c:ptCount val="1"/>
                <c:pt idx="0">
                  <c:v>Sugerencias </c:v>
                </c:pt>
              </c:strCache>
            </c:strRef>
          </c:tx>
          <c:spPr>
            <a:solidFill>
              <a:schemeClr val="bg2">
                <a:lumMod val="50000"/>
              </a:schemeClr>
            </a:solidFill>
            <a:ln>
              <a:noFill/>
            </a:ln>
            <a:effectLst/>
          </c:spPr>
          <c:invertIfNegative val="0"/>
          <c:cat>
            <c:strRef>
              <c:f>Hoja1!$A$2:$A$13</c:f>
              <c:strCache>
                <c:ptCount val="12"/>
                <c:pt idx="0">
                  <c:v>Enero </c:v>
                </c:pt>
                <c:pt idx="1">
                  <c:v>Feb</c:v>
                </c:pt>
                <c:pt idx="2">
                  <c:v>Marzo</c:v>
                </c:pt>
                <c:pt idx="3">
                  <c:v>Abril</c:v>
                </c:pt>
                <c:pt idx="4">
                  <c:v>Mayo</c:v>
                </c:pt>
                <c:pt idx="5">
                  <c:v>Junio</c:v>
                </c:pt>
                <c:pt idx="6">
                  <c:v>Jul</c:v>
                </c:pt>
                <c:pt idx="7">
                  <c:v>Aug</c:v>
                </c:pt>
                <c:pt idx="8">
                  <c:v>Sep</c:v>
                </c:pt>
                <c:pt idx="9">
                  <c:v>Oct</c:v>
                </c:pt>
                <c:pt idx="10">
                  <c:v>Nov</c:v>
                </c:pt>
                <c:pt idx="11">
                  <c:v>Dic</c:v>
                </c:pt>
              </c:strCache>
            </c:strRef>
          </c:cat>
          <c:val>
            <c:numRef>
              <c:f>Hoja1!$C$2:$C$13</c:f>
              <c:numCache>
                <c:formatCode>General</c:formatCode>
                <c:ptCount val="12"/>
                <c:pt idx="0">
                  <c:v>29</c:v>
                </c:pt>
                <c:pt idx="1">
                  <c:v>26</c:v>
                </c:pt>
                <c:pt idx="2">
                  <c:v>34</c:v>
                </c:pt>
                <c:pt idx="3">
                  <c:v>29</c:v>
                </c:pt>
                <c:pt idx="4">
                  <c:v>37</c:v>
                </c:pt>
                <c:pt idx="5">
                  <c:v>35</c:v>
                </c:pt>
                <c:pt idx="6">
                  <c:v>21</c:v>
                </c:pt>
                <c:pt idx="7">
                  <c:v>31</c:v>
                </c:pt>
                <c:pt idx="8">
                  <c:v>18</c:v>
                </c:pt>
                <c:pt idx="9">
                  <c:v>13</c:v>
                </c:pt>
                <c:pt idx="10">
                  <c:v>28</c:v>
                </c:pt>
                <c:pt idx="11">
                  <c:v>27</c:v>
                </c:pt>
              </c:numCache>
            </c:numRef>
          </c:val>
          <c:extLst>
            <c:ext xmlns:c16="http://schemas.microsoft.com/office/drawing/2014/chart" uri="{C3380CC4-5D6E-409C-BE32-E72D297353CC}">
              <c16:uniqueId val="{0000000D-39AF-4952-8FDE-85D1F3008CE8}"/>
            </c:ext>
          </c:extLst>
        </c:ser>
        <c:dLbls>
          <c:showLegendKey val="0"/>
          <c:showVal val="0"/>
          <c:showCatName val="0"/>
          <c:showSerName val="0"/>
          <c:showPercent val="0"/>
          <c:showBubbleSize val="0"/>
        </c:dLbls>
        <c:gapWidth val="219"/>
        <c:overlap val="-27"/>
        <c:axId val="1252050159"/>
        <c:axId val="756071263"/>
      </c:barChart>
      <c:catAx>
        <c:axId val="12520501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56071263"/>
        <c:crosses val="autoZero"/>
        <c:auto val="1"/>
        <c:lblAlgn val="ctr"/>
        <c:lblOffset val="100"/>
        <c:noMultiLvlLbl val="0"/>
      </c:catAx>
      <c:valAx>
        <c:axId val="75607126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52050159"/>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Sheet1!$B$1</c:f>
              <c:strCache>
                <c:ptCount val="1"/>
                <c:pt idx="0">
                  <c:v>cantidad</c:v>
                </c:pt>
              </c:strCache>
            </c:strRef>
          </c:tx>
          <c:dPt>
            <c:idx val="0"/>
            <c:bubble3D val="0"/>
            <c:spPr>
              <a:solidFill>
                <a:srgbClr val="002060"/>
              </a:solidFill>
              <a:ln>
                <a:noFill/>
              </a:ln>
              <a:effectLst/>
            </c:spPr>
            <c:extLst>
              <c:ext xmlns:c16="http://schemas.microsoft.com/office/drawing/2014/chart" uri="{C3380CC4-5D6E-409C-BE32-E72D297353CC}">
                <c16:uniqueId val="{00000001-7DDF-4955-B9F2-714F350CA0FD}"/>
              </c:ext>
            </c:extLst>
          </c:dPt>
          <c:dPt>
            <c:idx val="1"/>
            <c:bubble3D val="0"/>
            <c:spPr>
              <a:solidFill>
                <a:schemeClr val="accent5"/>
              </a:solidFill>
              <a:ln>
                <a:noFill/>
              </a:ln>
              <a:effectLst/>
            </c:spPr>
            <c:extLst>
              <c:ext xmlns:c16="http://schemas.microsoft.com/office/drawing/2014/chart" uri="{C3380CC4-5D6E-409C-BE32-E72D297353CC}">
                <c16:uniqueId val="{00000003-7DDF-4955-B9F2-714F350CA0FD}"/>
              </c:ext>
            </c:extLst>
          </c:dPt>
          <c:dPt>
            <c:idx val="2"/>
            <c:bubble3D val="0"/>
            <c:spPr>
              <a:solidFill>
                <a:schemeClr val="bg1">
                  <a:lumMod val="75000"/>
                </a:schemeClr>
              </a:solidFill>
              <a:ln>
                <a:noFill/>
              </a:ln>
              <a:effectLst/>
            </c:spPr>
            <c:extLst>
              <c:ext xmlns:c16="http://schemas.microsoft.com/office/drawing/2014/chart" uri="{C3380CC4-5D6E-409C-BE32-E72D297353CC}">
                <c16:uniqueId val="{00000005-7DDF-4955-B9F2-714F350CA0F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Sugerencias </c:v>
                </c:pt>
                <c:pt idx="1">
                  <c:v>Quejas </c:v>
                </c:pt>
                <c:pt idx="2">
                  <c:v>Reclamos </c:v>
                </c:pt>
              </c:strCache>
            </c:strRef>
          </c:cat>
          <c:val>
            <c:numRef>
              <c:f>Sheet1!$B$2:$B$4</c:f>
              <c:numCache>
                <c:formatCode>General</c:formatCode>
                <c:ptCount val="3"/>
                <c:pt idx="0">
                  <c:v>5</c:v>
                </c:pt>
                <c:pt idx="1">
                  <c:v>5</c:v>
                </c:pt>
                <c:pt idx="2">
                  <c:v>10</c:v>
                </c:pt>
              </c:numCache>
            </c:numRef>
          </c:val>
          <c:extLst>
            <c:ext xmlns:c16="http://schemas.microsoft.com/office/drawing/2014/chart" uri="{C3380CC4-5D6E-409C-BE32-E72D297353CC}">
              <c16:uniqueId val="{00000006-7DDF-4955-B9F2-714F350CA0FD}"/>
            </c:ext>
          </c:extLst>
        </c:ser>
        <c:dLbls>
          <c:showLegendKey val="0"/>
          <c:showVal val="0"/>
          <c:showCatName val="0"/>
          <c:showSerName val="0"/>
          <c:showPercent val="1"/>
          <c:showBubbleSize val="0"/>
          <c:showLeaderLines val="1"/>
        </c:dLbls>
        <c:firstSliceAng val="0"/>
      </c:pie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ysClr val="window" lastClr="FFFFFF"/>
      </a:solidFill>
      <a:round/>
    </a:ln>
    <a:effectLst/>
  </c:spPr>
  <c:txPr>
    <a:bodyPr/>
    <a:lstStyle/>
    <a:p>
      <a:pPr algn="just">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40" b="0" i="0" u="none" strike="noStrike" kern="1200" spc="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s-DO"/>
              <a:t>Planificación Compras</a:t>
            </a:r>
          </a:p>
        </c:rich>
      </c:tx>
      <c:layout>
        <c:manualLayout>
          <c:xMode val="edge"/>
          <c:yMode val="edge"/>
          <c:x val="0.32372222222222224"/>
          <c:y val="4.6296296296296294E-2"/>
        </c:manualLayout>
      </c:layout>
      <c:overlay val="0"/>
      <c:spPr>
        <a:noFill/>
        <a:ln>
          <a:noFill/>
        </a:ln>
        <a:effectLst/>
      </c:spPr>
      <c:txPr>
        <a:bodyPr rot="0" spcFirstLastPara="1" vertOverflow="ellipsis" vert="horz" wrap="square" anchor="ctr" anchorCtr="1"/>
        <a:lstStyle/>
        <a:p>
          <a:pPr>
            <a:defRPr sz="1440" b="0" i="0" u="none" strike="noStrike" kern="1200" spc="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D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ndard"/>
        <c:varyColors val="0"/>
        <c:ser>
          <c:idx val="0"/>
          <c:order val="0"/>
          <c:spPr>
            <a:solidFill>
              <a:schemeClr val="accent1"/>
            </a:solidFill>
            <a:ln>
              <a:noFill/>
            </a:ln>
            <a:effectLst/>
            <a:sp3d/>
          </c:spPr>
          <c:invertIfNegative val="0"/>
          <c:dLbls>
            <c:dLbl>
              <c:idx val="0"/>
              <c:layout>
                <c:manualLayout>
                  <c:x val="8.3333333333333332E-3"/>
                  <c:y val="-6.0185185185185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021-4410-A7E7-70221910820F}"/>
                </c:ext>
              </c:extLst>
            </c:dLbl>
            <c:dLbl>
              <c:idx val="1"/>
              <c:layout>
                <c:manualLayout>
                  <c:x val="8.3333333333332829E-3"/>
                  <c:y val="-4.166666666666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021-4410-A7E7-70221910820F}"/>
                </c:ext>
              </c:extLst>
            </c:dLbl>
            <c:dLbl>
              <c:idx val="2"/>
              <c:layout>
                <c:manualLayout>
                  <c:x val="1.3888888888888888E-2"/>
                  <c:y val="-4.166666666666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021-4410-A7E7-70221910820F}"/>
                </c:ext>
              </c:extLst>
            </c:dLbl>
            <c:dLbl>
              <c:idx val="3"/>
              <c:layout>
                <c:manualLayout>
                  <c:x val="1.9444444444444344E-2"/>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021-4410-A7E7-70221910820F}"/>
                </c:ext>
              </c:extLst>
            </c:dLbl>
            <c:spPr>
              <a:noFill/>
              <a:ln>
                <a:noFill/>
              </a:ln>
              <a:effectLst/>
            </c:spPr>
            <c:txPr>
              <a:bodyPr rot="0" spcFirstLastPara="1" vertOverflow="ellipsis" vert="horz" wrap="square" anchor="ctr" anchorCtr="1"/>
              <a:lstStyle/>
              <a:p>
                <a:pPr>
                  <a:defRPr sz="12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D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Sheet3!$A$61:$A$64</c:f>
              <c:strCache>
                <c:ptCount val="4"/>
                <c:pt idx="0">
                  <c:v>T1</c:v>
                </c:pt>
                <c:pt idx="1">
                  <c:v>T2</c:v>
                </c:pt>
                <c:pt idx="2">
                  <c:v>T3</c:v>
                </c:pt>
                <c:pt idx="3">
                  <c:v>T4</c:v>
                </c:pt>
              </c:strCache>
            </c:strRef>
          </c:cat>
          <c:val>
            <c:numRef>
              <c:f>Sheet3!$B$61:$B$64</c:f>
              <c:numCache>
                <c:formatCode>_(* #,##0.00_);_(* \(#,##0.00\);_(* "-"??_);_(@_)</c:formatCode>
                <c:ptCount val="4"/>
                <c:pt idx="0">
                  <c:v>18.87</c:v>
                </c:pt>
                <c:pt idx="1">
                  <c:v>19.02</c:v>
                </c:pt>
                <c:pt idx="2">
                  <c:v>18.350000000000001</c:v>
                </c:pt>
                <c:pt idx="3">
                  <c:v>19.149999999999999</c:v>
                </c:pt>
              </c:numCache>
            </c:numRef>
          </c:val>
          <c:extLst>
            <c:ext xmlns:c16="http://schemas.microsoft.com/office/drawing/2014/chart" uri="{C3380CC4-5D6E-409C-BE32-E72D297353CC}">
              <c16:uniqueId val="{00000004-8021-4410-A7E7-70221910820F}"/>
            </c:ext>
          </c:extLst>
        </c:ser>
        <c:dLbls>
          <c:showLegendKey val="0"/>
          <c:showVal val="0"/>
          <c:showCatName val="0"/>
          <c:showSerName val="0"/>
          <c:showPercent val="0"/>
          <c:showBubbleSize val="0"/>
        </c:dLbls>
        <c:gapWidth val="150"/>
        <c:shape val="box"/>
        <c:axId val="1879151247"/>
        <c:axId val="1879152687"/>
        <c:axId val="1907790159"/>
      </c:bar3DChart>
      <c:catAx>
        <c:axId val="187915124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DO"/>
          </a:p>
        </c:txPr>
        <c:crossAx val="1879152687"/>
        <c:crosses val="autoZero"/>
        <c:auto val="1"/>
        <c:lblAlgn val="ctr"/>
        <c:lblOffset val="100"/>
        <c:noMultiLvlLbl val="0"/>
      </c:catAx>
      <c:valAx>
        <c:axId val="1879152687"/>
        <c:scaling>
          <c:orientation val="minMax"/>
        </c:scaling>
        <c:delete val="1"/>
        <c:axPos val="l"/>
        <c:majorGridlines>
          <c:spPr>
            <a:ln w="9525" cap="flat" cmpd="sng" algn="ctr">
              <a:noFill/>
              <a:round/>
            </a:ln>
            <a:effectLst/>
          </c:spPr>
        </c:majorGridlines>
        <c:numFmt formatCode="_(* #,##0.00_);_(* \(#,##0.00\);_(* &quot;-&quot;??_);_(@_)" sourceLinked="1"/>
        <c:majorTickMark val="none"/>
        <c:minorTickMark val="none"/>
        <c:tickLblPos val="nextTo"/>
        <c:crossAx val="1879151247"/>
        <c:crosses val="autoZero"/>
        <c:crossBetween val="between"/>
      </c:valAx>
      <c:serAx>
        <c:axId val="1907790159"/>
        <c:scaling>
          <c:orientation val="minMax"/>
        </c:scaling>
        <c:delete val="1"/>
        <c:axPos val="b"/>
        <c:majorTickMark val="none"/>
        <c:minorTickMark val="none"/>
        <c:tickLblPos val="nextTo"/>
        <c:crossAx val="1879152687"/>
        <c:crosses val="autoZero"/>
      </c:ser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1200">
          <a:solidFill>
            <a:schemeClr val="tx1">
              <a:lumMod val="50000"/>
              <a:lumOff val="50000"/>
            </a:schemeClr>
          </a:solidFill>
          <a:latin typeface="Times New Roman" panose="02020603050405020304" pitchFamily="18" charset="0"/>
          <a:cs typeface="Times New Roman" panose="02020603050405020304" pitchFamily="18" charset="0"/>
        </a:defRPr>
      </a:pPr>
      <a:endParaRPr lang="es-D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50000"/>
                    <a:lumOff val="50000"/>
                  </a:schemeClr>
                </a:solidFill>
                <a:latin typeface="+mn-lt"/>
                <a:ea typeface="+mn-ea"/>
                <a:cs typeface="+mn-cs"/>
              </a:defRPr>
            </a:pPr>
            <a:r>
              <a:rPr lang="es-DO" sz="1200">
                <a:solidFill>
                  <a:schemeClr val="tx1">
                    <a:lumMod val="50000"/>
                    <a:lumOff val="50000"/>
                  </a:schemeClr>
                </a:solidFill>
                <a:latin typeface="Times New Roman" panose="02020603050405020304" pitchFamily="18" charset="0"/>
                <a:cs typeface="Times New Roman" panose="02020603050405020304" pitchFamily="18" charset="0"/>
              </a:rPr>
              <a:t>Gestión de Procesos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50000"/>
                  <a:lumOff val="50000"/>
                </a:schemeClr>
              </a:solidFill>
              <a:latin typeface="+mn-lt"/>
              <a:ea typeface="+mn-ea"/>
              <a:cs typeface="+mn-cs"/>
            </a:defRPr>
          </a:pPr>
          <a:endParaRPr lang="es-D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ndard"/>
        <c:varyColors val="0"/>
        <c:ser>
          <c:idx val="0"/>
          <c:order val="0"/>
          <c:spPr>
            <a:solidFill>
              <a:schemeClr val="accent1"/>
            </a:solidFill>
            <a:ln>
              <a:noFill/>
            </a:ln>
            <a:effectLst/>
            <a:sp3d/>
          </c:spPr>
          <c:invertIfNegative val="0"/>
          <c:dLbls>
            <c:dLbl>
              <c:idx val="0"/>
              <c:layout>
                <c:manualLayout>
                  <c:x val="1.5640275309896021E-2"/>
                  <c:y val="-4.30107526881720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D07-41DF-AC58-A50F0E595EE2}"/>
                </c:ext>
              </c:extLst>
            </c:dLbl>
            <c:dLbl>
              <c:idx val="1"/>
              <c:layout>
                <c:manualLayout>
                  <c:x val="1.5640275309896045E-2"/>
                  <c:y val="-4.30107526881720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D07-41DF-AC58-A50F0E595EE2}"/>
                </c:ext>
              </c:extLst>
            </c:dLbl>
            <c:dLbl>
              <c:idx val="2"/>
              <c:layout>
                <c:manualLayout>
                  <c:x val="2.0853700413194728E-2"/>
                  <c:y val="-4.30107526881720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D07-41DF-AC58-A50F0E595EE2}"/>
                </c:ext>
              </c:extLst>
            </c:dLbl>
            <c:dLbl>
              <c:idx val="3"/>
              <c:layout>
                <c:manualLayout>
                  <c:x val="1.5640275309895951E-2"/>
                  <c:y val="-5.86510263929618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D07-41DF-AC58-A50F0E595EE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es-D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Sheet3!$A$29:$A$32</c:f>
              <c:strCache>
                <c:ptCount val="4"/>
                <c:pt idx="0">
                  <c:v>T1</c:v>
                </c:pt>
                <c:pt idx="1">
                  <c:v>T2</c:v>
                </c:pt>
                <c:pt idx="2">
                  <c:v>T3</c:v>
                </c:pt>
                <c:pt idx="3">
                  <c:v>T4</c:v>
                </c:pt>
              </c:strCache>
            </c:strRef>
          </c:cat>
          <c:val>
            <c:numRef>
              <c:f>Sheet3!$B$29:$B$32</c:f>
              <c:numCache>
                <c:formatCode>_(* #,##0.00_);_(* \(#,##0.00\);_(* "-"??_);_(@_)</c:formatCode>
                <c:ptCount val="4"/>
                <c:pt idx="0">
                  <c:v>15</c:v>
                </c:pt>
                <c:pt idx="1">
                  <c:v>15</c:v>
                </c:pt>
                <c:pt idx="2">
                  <c:v>14.68</c:v>
                </c:pt>
                <c:pt idx="3">
                  <c:v>14.83</c:v>
                </c:pt>
              </c:numCache>
            </c:numRef>
          </c:val>
          <c:extLst>
            <c:ext xmlns:c16="http://schemas.microsoft.com/office/drawing/2014/chart" uri="{C3380CC4-5D6E-409C-BE32-E72D297353CC}">
              <c16:uniqueId val="{00000004-AD07-41DF-AC58-A50F0E595EE2}"/>
            </c:ext>
          </c:extLst>
        </c:ser>
        <c:dLbls>
          <c:showLegendKey val="0"/>
          <c:showVal val="0"/>
          <c:showCatName val="0"/>
          <c:showSerName val="0"/>
          <c:showPercent val="0"/>
          <c:showBubbleSize val="0"/>
        </c:dLbls>
        <c:gapWidth val="150"/>
        <c:shape val="box"/>
        <c:axId val="1876062191"/>
        <c:axId val="1876062671"/>
        <c:axId val="1827285759"/>
      </c:bar3DChart>
      <c:catAx>
        <c:axId val="1876062191"/>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DO"/>
          </a:p>
        </c:txPr>
        <c:crossAx val="1876062671"/>
        <c:crosses val="autoZero"/>
        <c:auto val="1"/>
        <c:lblAlgn val="ctr"/>
        <c:lblOffset val="100"/>
        <c:noMultiLvlLbl val="0"/>
      </c:catAx>
      <c:valAx>
        <c:axId val="1876062671"/>
        <c:scaling>
          <c:orientation val="minMax"/>
        </c:scaling>
        <c:delete val="1"/>
        <c:axPos val="l"/>
        <c:majorGridlines>
          <c:spPr>
            <a:ln w="9525" cap="flat" cmpd="sng" algn="ctr">
              <a:noFill/>
              <a:round/>
            </a:ln>
            <a:effectLst/>
          </c:spPr>
        </c:majorGridlines>
        <c:numFmt formatCode="_(* #,##0.00_);_(* \(#,##0.00\);_(* &quot;-&quot;??_);_(@_)" sourceLinked="1"/>
        <c:majorTickMark val="none"/>
        <c:minorTickMark val="none"/>
        <c:tickLblPos val="nextTo"/>
        <c:crossAx val="1876062191"/>
        <c:crosses val="autoZero"/>
        <c:crossBetween val="between"/>
      </c:valAx>
      <c:serAx>
        <c:axId val="1827285759"/>
        <c:scaling>
          <c:orientation val="minMax"/>
        </c:scaling>
        <c:delete val="1"/>
        <c:axPos val="b"/>
        <c:majorTickMark val="none"/>
        <c:minorTickMark val="none"/>
        <c:tickLblPos val="nextTo"/>
        <c:crossAx val="1876062671"/>
        <c:crosses val="autoZero"/>
      </c:ser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es-D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s-DO" sz="1200">
                <a:solidFill>
                  <a:schemeClr val="tx1">
                    <a:lumMod val="50000"/>
                    <a:lumOff val="50000"/>
                  </a:schemeClr>
                </a:solidFill>
                <a:latin typeface="Times New Roman" panose="02020603050405020304" pitchFamily="18" charset="0"/>
                <a:cs typeface="Times New Roman" panose="02020603050405020304" pitchFamily="18" charset="0"/>
              </a:rPr>
              <a:t>Tiempo de Gestión Procesos</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D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ndard"/>
        <c:varyColors val="0"/>
        <c:ser>
          <c:idx val="0"/>
          <c:order val="0"/>
          <c:spPr>
            <a:solidFill>
              <a:schemeClr val="accent1"/>
            </a:solidFill>
            <a:ln>
              <a:noFill/>
            </a:ln>
            <a:effectLst/>
            <a:sp3d/>
          </c:spPr>
          <c:invertIfNegative val="0"/>
          <c:dLbls>
            <c:dLbl>
              <c:idx val="0"/>
              <c:layout>
                <c:manualLayout>
                  <c:x val="2.3208589297879869E-3"/>
                  <c:y val="-2.35988200589971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1BD-43E6-8D4B-82D2D4528DAF}"/>
                </c:ext>
              </c:extLst>
            </c:dLbl>
            <c:dLbl>
              <c:idx val="1"/>
              <c:layout>
                <c:manualLayout>
                  <c:x val="-4.2548588854517165E-17"/>
                  <c:y val="-3.9331366764995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1BD-43E6-8D4B-82D2D4528DAF}"/>
                </c:ext>
              </c:extLst>
            </c:dLbl>
            <c:dLbl>
              <c:idx val="2"/>
              <c:layout>
                <c:manualLayout>
                  <c:x val="-8.509717770903433E-17"/>
                  <c:y val="-4.71976401179940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1BD-43E6-8D4B-82D2D4528DAF}"/>
                </c:ext>
              </c:extLst>
            </c:dLbl>
            <c:dLbl>
              <c:idx val="3"/>
              <c:layout>
                <c:manualLayout>
                  <c:x val="4.6417178595759738E-3"/>
                  <c:y val="-9.43952802359881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1BD-43E6-8D4B-82D2D4528DA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D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Sheet3!$A$42:$A$45</c:f>
              <c:strCache>
                <c:ptCount val="4"/>
                <c:pt idx="0">
                  <c:v>T1</c:v>
                </c:pt>
                <c:pt idx="1">
                  <c:v>T2</c:v>
                </c:pt>
                <c:pt idx="2">
                  <c:v>T3</c:v>
                </c:pt>
                <c:pt idx="3">
                  <c:v>T4</c:v>
                </c:pt>
              </c:strCache>
            </c:strRef>
          </c:cat>
          <c:val>
            <c:numRef>
              <c:f>Sheet3!$B$42:$B$45</c:f>
              <c:numCache>
                <c:formatCode>_(* #,##0.00_);_(* \(#,##0.00\);_(* "-"??_);_(@_)</c:formatCode>
                <c:ptCount val="4"/>
                <c:pt idx="0">
                  <c:v>8.3699999999999992</c:v>
                </c:pt>
                <c:pt idx="1">
                  <c:v>14.54</c:v>
                </c:pt>
                <c:pt idx="2">
                  <c:v>13.8</c:v>
                </c:pt>
                <c:pt idx="3">
                  <c:v>14.11</c:v>
                </c:pt>
              </c:numCache>
            </c:numRef>
          </c:val>
          <c:extLst>
            <c:ext xmlns:c16="http://schemas.microsoft.com/office/drawing/2014/chart" uri="{C3380CC4-5D6E-409C-BE32-E72D297353CC}">
              <c16:uniqueId val="{00000004-71BD-43E6-8D4B-82D2D4528DAF}"/>
            </c:ext>
          </c:extLst>
        </c:ser>
        <c:dLbls>
          <c:showLegendKey val="0"/>
          <c:showVal val="0"/>
          <c:showCatName val="0"/>
          <c:showSerName val="0"/>
          <c:showPercent val="0"/>
          <c:showBubbleSize val="0"/>
        </c:dLbls>
        <c:gapWidth val="150"/>
        <c:shape val="box"/>
        <c:axId val="1878148703"/>
        <c:axId val="1899017087"/>
        <c:axId val="1731582159"/>
      </c:bar3DChart>
      <c:catAx>
        <c:axId val="1878148703"/>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DO"/>
          </a:p>
        </c:txPr>
        <c:crossAx val="1899017087"/>
        <c:crosses val="autoZero"/>
        <c:auto val="1"/>
        <c:lblAlgn val="ctr"/>
        <c:lblOffset val="100"/>
        <c:noMultiLvlLbl val="0"/>
      </c:catAx>
      <c:valAx>
        <c:axId val="1899017087"/>
        <c:scaling>
          <c:orientation val="minMax"/>
        </c:scaling>
        <c:delete val="1"/>
        <c:axPos val="l"/>
        <c:majorGridlines>
          <c:spPr>
            <a:ln w="9525" cap="flat" cmpd="sng" algn="ctr">
              <a:noFill/>
              <a:round/>
            </a:ln>
            <a:effectLst/>
          </c:spPr>
        </c:majorGridlines>
        <c:numFmt formatCode="_(* #,##0.00_);_(* \(#,##0.00\);_(* &quot;-&quot;??_);_(@_)" sourceLinked="1"/>
        <c:majorTickMark val="none"/>
        <c:minorTickMark val="none"/>
        <c:tickLblPos val="nextTo"/>
        <c:crossAx val="1878148703"/>
        <c:crosses val="autoZero"/>
        <c:crossBetween val="between"/>
      </c:valAx>
      <c:serAx>
        <c:axId val="1731582159"/>
        <c:scaling>
          <c:orientation val="minMax"/>
        </c:scaling>
        <c:delete val="1"/>
        <c:axPos val="b"/>
        <c:majorTickMark val="none"/>
        <c:minorTickMark val="none"/>
        <c:tickLblPos val="nextTo"/>
        <c:crossAx val="1899017087"/>
        <c:crosses val="autoZero"/>
      </c:ser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s-DO"/>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hade val="53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B476-4004-8F32-A28634745A01}"/>
              </c:ext>
            </c:extLst>
          </c:dPt>
          <c:dPt>
            <c:idx val="1"/>
            <c:bubble3D val="0"/>
            <c:spPr>
              <a:solidFill>
                <a:schemeClr val="accent1">
                  <a:shade val="76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B476-4004-8F32-A28634745A01}"/>
              </c:ext>
            </c:extLst>
          </c:dPt>
          <c:dPt>
            <c:idx val="2"/>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5-B476-4004-8F32-A28634745A01}"/>
              </c:ext>
            </c:extLst>
          </c:dPt>
          <c:dPt>
            <c:idx val="3"/>
            <c:bubble3D val="0"/>
            <c:spPr>
              <a:solidFill>
                <a:schemeClr val="accent1">
                  <a:tint val="77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7-B476-4004-8F32-A28634745A01}"/>
              </c:ext>
            </c:extLst>
          </c:dPt>
          <c:dPt>
            <c:idx val="4"/>
            <c:bubble3D val="0"/>
            <c:spPr>
              <a:solidFill>
                <a:schemeClr val="accent1">
                  <a:tint val="54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9-B476-4004-8F32-A28634745A01}"/>
              </c:ext>
            </c:extLst>
          </c:dPt>
          <c:dLbls>
            <c:dLbl>
              <c:idx val="0"/>
              <c:layout>
                <c:manualLayout>
                  <c:x val="-4.8946359786416246E-2"/>
                  <c:y val="-3.1801227515829839E-2"/>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B476-4004-8F32-A28634745A01}"/>
                </c:ext>
              </c:extLst>
            </c:dLbl>
            <c:dLbl>
              <c:idx val="1"/>
              <c:layout>
                <c:manualLayout>
                  <c:x val="0"/>
                  <c:y val="-7.9583513269496697E-2"/>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B476-4004-8F32-A28634745A01}"/>
                </c:ext>
              </c:extLst>
            </c:dLbl>
            <c:dLbl>
              <c:idx val="2"/>
              <c:layout>
                <c:manualLayout>
                  <c:x val="-2.8702127528489239E-2"/>
                  <c:y val="0.19758602105488618"/>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B476-4004-8F32-A28634745A01}"/>
                </c:ext>
              </c:extLst>
            </c:dLbl>
            <c:dLbl>
              <c:idx val="3"/>
              <c:layout>
                <c:manualLayout>
                  <c:x val="3.7532180847830985E-3"/>
                  <c:y val="2.3862881950142766E-2"/>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B476-4004-8F32-A28634745A01}"/>
                </c:ext>
              </c:extLst>
            </c:dLbl>
            <c:dLbl>
              <c:idx val="4"/>
              <c:layout>
                <c:manualLayout>
                  <c:x val="2.414731264423204E-2"/>
                  <c:y val="-3.5374995227869833E-2"/>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B476-4004-8F32-A28634745A01}"/>
                </c:ext>
              </c:extLst>
            </c:dLbl>
            <c:spPr>
              <a:noFill/>
              <a:ln>
                <a:noFill/>
              </a:ln>
              <a:effectLst/>
            </c:spPr>
            <c:txPr>
              <a:bodyPr rot="0" spcFirstLastPara="1" vertOverflow="ellipsis" vert="horz" wrap="square" anchor="ctr" anchorCtr="1"/>
              <a:lstStyle/>
              <a:p>
                <a:pPr>
                  <a:defRPr sz="900" b="0" i="0" u="none" strike="noStrike" kern="1200" baseline="0">
                    <a:solidFill>
                      <a:schemeClr val="bg1">
                        <a:lumMod val="50000"/>
                      </a:schemeClr>
                    </a:solidFill>
                    <a:latin typeface="Times New Roman" panose="02020603050405020304" pitchFamily="18" charset="0"/>
                    <a:ea typeface="+mn-ea"/>
                    <a:cs typeface="Times New Roman" panose="02020603050405020304" pitchFamily="18" charset="0"/>
                  </a:defRPr>
                </a:pPr>
                <a:endParaRPr lang="es-DO"/>
              </a:p>
            </c:txPr>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Sheet2!$A$20:$E$20</c:f>
              <c:strCache>
                <c:ptCount val="5"/>
                <c:pt idx="0">
                  <c:v> Compras Menores </c:v>
                </c:pt>
                <c:pt idx="1">
                  <c:v> Compras por Debajo del Umbral </c:v>
                </c:pt>
                <c:pt idx="2">
                  <c:v> Comparación de Precios </c:v>
                </c:pt>
                <c:pt idx="3">
                  <c:v> Procesos de Excepción </c:v>
                </c:pt>
                <c:pt idx="4">
                  <c:v> Licitación Pública Nacional </c:v>
                </c:pt>
              </c:strCache>
            </c:strRef>
          </c:cat>
          <c:val>
            <c:numRef>
              <c:f>Sheet2!$A$21:$E$21</c:f>
              <c:numCache>
                <c:formatCode>_("$"* #,##0.00_);_("$"* \(#,##0.00\);_("$"* "-"??_);_(@_)</c:formatCode>
                <c:ptCount val="5"/>
                <c:pt idx="0">
                  <c:v>44752320</c:v>
                </c:pt>
                <c:pt idx="1">
                  <c:v>10434365</c:v>
                </c:pt>
                <c:pt idx="2">
                  <c:v>46811939</c:v>
                </c:pt>
                <c:pt idx="3">
                  <c:v>103450986</c:v>
                </c:pt>
                <c:pt idx="4">
                  <c:v>50625488</c:v>
                </c:pt>
              </c:numCache>
            </c:numRef>
          </c:val>
          <c:extLst>
            <c:ext xmlns:c16="http://schemas.microsoft.com/office/drawing/2014/chart" uri="{C3380CC4-5D6E-409C-BE32-E72D297353CC}">
              <c16:uniqueId val="{0000000A-B476-4004-8F32-A28634745A01}"/>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bg1">
                  <a:lumMod val="50000"/>
                </a:schemeClr>
              </a:solidFill>
              <a:latin typeface="Times New Roman" panose="02020603050405020304" pitchFamily="18" charset="0"/>
              <a:ea typeface="+mn-ea"/>
              <a:cs typeface="Times New Roman" panose="02020603050405020304" pitchFamily="18" charset="0"/>
            </a:defRPr>
          </a:pPr>
          <a:endParaRPr lang="es-D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chemeClr val="bg1">
              <a:lumMod val="50000"/>
            </a:schemeClr>
          </a:solidFill>
          <a:latin typeface="Times New Roman" panose="02020603050405020304" pitchFamily="18" charset="0"/>
          <a:cs typeface="Times New Roman" panose="02020603050405020304" pitchFamily="18" charset="0"/>
        </a:defRPr>
      </a:pPr>
      <a:endParaRPr lang="es-DO"/>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50000"/>
                    <a:lumOff val="50000"/>
                  </a:schemeClr>
                </a:solidFill>
                <a:latin typeface="+mn-lt"/>
                <a:ea typeface="+mn-ea"/>
                <a:cs typeface="+mn-cs"/>
              </a:defRPr>
            </a:pPr>
            <a:r>
              <a:rPr lang="es-DO" sz="1200">
                <a:solidFill>
                  <a:schemeClr val="tx1">
                    <a:lumMod val="50000"/>
                    <a:lumOff val="50000"/>
                  </a:schemeClr>
                </a:solidFill>
                <a:latin typeface="Times New Roman" panose="02020603050405020304" pitchFamily="18" charset="0"/>
                <a:cs typeface="Times New Roman" panose="02020603050405020304" pitchFamily="18" charset="0"/>
              </a:rPr>
              <a:t>Administración de Contratos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50000"/>
                  <a:lumOff val="50000"/>
                </a:schemeClr>
              </a:solidFill>
              <a:latin typeface="+mn-lt"/>
              <a:ea typeface="+mn-ea"/>
              <a:cs typeface="+mn-cs"/>
            </a:defRPr>
          </a:pPr>
          <a:endParaRPr lang="es-D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ndard"/>
        <c:varyColors val="0"/>
        <c:ser>
          <c:idx val="0"/>
          <c:order val="0"/>
          <c:spPr>
            <a:solidFill>
              <a:schemeClr val="accent1"/>
            </a:solidFill>
            <a:ln>
              <a:noFill/>
            </a:ln>
            <a:effectLst/>
            <a:sp3d/>
          </c:spPr>
          <c:invertIfNegative val="0"/>
          <c:dLbls>
            <c:dLbl>
              <c:idx val="0"/>
              <c:layout>
                <c:manualLayout>
                  <c:x val="-2.4992187481551044E-3"/>
                  <c:y val="-5.71428571428571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3C3-49D1-A50F-E4C5EEC69F79}"/>
                </c:ext>
              </c:extLst>
            </c:dLbl>
            <c:dLbl>
              <c:idx val="1"/>
              <c:layout>
                <c:manualLayout>
                  <c:x val="1.499531248893058E-2"/>
                  <c:y val="-5.3333333333333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3C3-49D1-A50F-E4C5EEC69F79}"/>
                </c:ext>
              </c:extLst>
            </c:dLbl>
            <c:dLbl>
              <c:idx val="2"/>
              <c:layout>
                <c:manualLayout>
                  <c:x val="9.9968749926204175E-3"/>
                  <c:y val="-4.19047619047619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3C3-49D1-A50F-E4C5EEC69F79}"/>
                </c:ext>
              </c:extLst>
            </c:dLbl>
            <c:dLbl>
              <c:idx val="3"/>
              <c:layout>
                <c:manualLayout>
                  <c:x val="2.2492968733395846E-2"/>
                  <c:y val="-4.95238095238095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3C3-49D1-A50F-E4C5EEC69F7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es-D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Sheet3!$A$1:$A$4</c:f>
              <c:strCache>
                <c:ptCount val="4"/>
                <c:pt idx="0">
                  <c:v>T1</c:v>
                </c:pt>
                <c:pt idx="1">
                  <c:v>T2</c:v>
                </c:pt>
                <c:pt idx="2">
                  <c:v>T3</c:v>
                </c:pt>
                <c:pt idx="3">
                  <c:v>T4</c:v>
                </c:pt>
              </c:strCache>
            </c:strRef>
          </c:cat>
          <c:val>
            <c:numRef>
              <c:f>Sheet3!$B$1:$B$4</c:f>
              <c:numCache>
                <c:formatCode>General</c:formatCode>
                <c:ptCount val="4"/>
                <c:pt idx="0">
                  <c:v>29.69</c:v>
                </c:pt>
                <c:pt idx="1">
                  <c:v>27.89</c:v>
                </c:pt>
                <c:pt idx="2">
                  <c:v>29.35</c:v>
                </c:pt>
                <c:pt idx="3">
                  <c:v>26.27</c:v>
                </c:pt>
              </c:numCache>
            </c:numRef>
          </c:val>
          <c:extLst>
            <c:ext xmlns:c16="http://schemas.microsoft.com/office/drawing/2014/chart" uri="{C3380CC4-5D6E-409C-BE32-E72D297353CC}">
              <c16:uniqueId val="{00000004-C3C3-49D1-A50F-E4C5EEC69F79}"/>
            </c:ext>
          </c:extLst>
        </c:ser>
        <c:dLbls>
          <c:showLegendKey val="0"/>
          <c:showVal val="0"/>
          <c:showCatName val="0"/>
          <c:showSerName val="0"/>
          <c:showPercent val="0"/>
          <c:showBubbleSize val="0"/>
        </c:dLbls>
        <c:gapWidth val="150"/>
        <c:shape val="box"/>
        <c:axId val="1848476463"/>
        <c:axId val="1848470223"/>
        <c:axId val="1833390783"/>
      </c:bar3DChart>
      <c:catAx>
        <c:axId val="1848476463"/>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DO"/>
          </a:p>
        </c:txPr>
        <c:crossAx val="1848470223"/>
        <c:crosses val="autoZero"/>
        <c:auto val="1"/>
        <c:lblAlgn val="ctr"/>
        <c:lblOffset val="100"/>
        <c:noMultiLvlLbl val="0"/>
      </c:catAx>
      <c:valAx>
        <c:axId val="1848470223"/>
        <c:scaling>
          <c:orientation val="minMax"/>
        </c:scaling>
        <c:delete val="1"/>
        <c:axPos val="l"/>
        <c:majorGridlines>
          <c:spPr>
            <a:ln w="9525" cap="flat" cmpd="sng" algn="ctr">
              <a:noFill/>
              <a:round/>
            </a:ln>
            <a:effectLst/>
          </c:spPr>
        </c:majorGridlines>
        <c:numFmt formatCode="General" sourceLinked="1"/>
        <c:majorTickMark val="none"/>
        <c:minorTickMark val="none"/>
        <c:tickLblPos val="nextTo"/>
        <c:crossAx val="1848476463"/>
        <c:crosses val="autoZero"/>
        <c:crossBetween val="between"/>
      </c:valAx>
      <c:serAx>
        <c:axId val="1833390783"/>
        <c:scaling>
          <c:orientation val="minMax"/>
        </c:scaling>
        <c:delete val="1"/>
        <c:axPos val="b"/>
        <c:majorTickMark val="none"/>
        <c:minorTickMark val="none"/>
        <c:tickLblPos val="nextTo"/>
        <c:crossAx val="1848470223"/>
        <c:crosses val="autoZero"/>
      </c:ser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s-DO"/>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s-DO" sz="1200">
                <a:solidFill>
                  <a:schemeClr val="tx1">
                    <a:lumMod val="50000"/>
                    <a:lumOff val="50000"/>
                  </a:schemeClr>
                </a:solidFill>
                <a:latin typeface="Times New Roman" panose="02020603050405020304" pitchFamily="18" charset="0"/>
                <a:cs typeface="Times New Roman" panose="02020603050405020304" pitchFamily="18" charset="0"/>
              </a:rPr>
              <a:t>Compras Mipymes</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D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ndard"/>
        <c:varyColors val="0"/>
        <c:ser>
          <c:idx val="0"/>
          <c:order val="0"/>
          <c:spPr>
            <a:solidFill>
              <a:schemeClr val="accent1"/>
            </a:solidFill>
            <a:ln>
              <a:noFill/>
            </a:ln>
            <a:effectLst/>
            <a:sp3d/>
          </c:spPr>
          <c:invertIfNegative val="0"/>
          <c:dLbls>
            <c:dLbl>
              <c:idx val="0"/>
              <c:layout>
                <c:manualLayout>
                  <c:x val="7.3193039630092748E-3"/>
                  <c:y val="-4.14507772020726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DB1-4D2F-8ECD-1B8A08766409}"/>
                </c:ext>
              </c:extLst>
            </c:dLbl>
            <c:dLbl>
              <c:idx val="1"/>
              <c:layout>
                <c:manualLayout>
                  <c:x val="1.4638607926018506E-2"/>
                  <c:y val="-6.21761658031088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DB1-4D2F-8ECD-1B8A08766409}"/>
                </c:ext>
              </c:extLst>
            </c:dLbl>
            <c:dLbl>
              <c:idx val="2"/>
              <c:layout>
                <c:manualLayout>
                  <c:x val="7.3193039630092748E-3"/>
                  <c:y val="-5.18134715025907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DB1-4D2F-8ECD-1B8A08766409}"/>
                </c:ext>
              </c:extLst>
            </c:dLbl>
            <c:dLbl>
              <c:idx val="3"/>
              <c:layout>
                <c:manualLayout>
                  <c:x val="2.4397679876697583E-3"/>
                  <c:y val="-5.52677029360967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DB1-4D2F-8ECD-1B8A08766409}"/>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D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Sheet3!$P$1:$P$4</c:f>
              <c:strCache>
                <c:ptCount val="4"/>
                <c:pt idx="0">
                  <c:v>T1</c:v>
                </c:pt>
                <c:pt idx="1">
                  <c:v>T2</c:v>
                </c:pt>
                <c:pt idx="2">
                  <c:v>T3</c:v>
                </c:pt>
                <c:pt idx="3">
                  <c:v>T4</c:v>
                </c:pt>
              </c:strCache>
            </c:strRef>
          </c:cat>
          <c:val>
            <c:numRef>
              <c:f>Sheet3!$Q$1:$Q$4</c:f>
              <c:numCache>
                <c:formatCode>_(* #,##0.00_);_(* \(#,##0.00\);_(* "-"??_);_(@_)</c:formatCode>
                <c:ptCount val="4"/>
                <c:pt idx="0">
                  <c:v>18.34</c:v>
                </c:pt>
                <c:pt idx="1">
                  <c:v>20</c:v>
                </c:pt>
                <c:pt idx="2">
                  <c:v>20</c:v>
                </c:pt>
                <c:pt idx="3">
                  <c:v>18</c:v>
                </c:pt>
              </c:numCache>
            </c:numRef>
          </c:val>
          <c:extLst>
            <c:ext xmlns:c16="http://schemas.microsoft.com/office/drawing/2014/chart" uri="{C3380CC4-5D6E-409C-BE32-E72D297353CC}">
              <c16:uniqueId val="{00000004-6DB1-4D2F-8ECD-1B8A08766409}"/>
            </c:ext>
          </c:extLst>
        </c:ser>
        <c:dLbls>
          <c:showLegendKey val="0"/>
          <c:showVal val="0"/>
          <c:showCatName val="0"/>
          <c:showSerName val="0"/>
          <c:showPercent val="0"/>
          <c:showBubbleSize val="0"/>
        </c:dLbls>
        <c:gapWidth val="150"/>
        <c:shape val="box"/>
        <c:axId val="1792382623"/>
        <c:axId val="1792383103"/>
        <c:axId val="1833401791"/>
      </c:bar3DChart>
      <c:catAx>
        <c:axId val="1792382623"/>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DO"/>
          </a:p>
        </c:txPr>
        <c:crossAx val="1792383103"/>
        <c:crosses val="autoZero"/>
        <c:auto val="1"/>
        <c:lblAlgn val="ctr"/>
        <c:lblOffset val="100"/>
        <c:noMultiLvlLbl val="0"/>
      </c:catAx>
      <c:valAx>
        <c:axId val="1792383103"/>
        <c:scaling>
          <c:orientation val="minMax"/>
        </c:scaling>
        <c:delete val="1"/>
        <c:axPos val="l"/>
        <c:majorGridlines>
          <c:spPr>
            <a:ln w="9525" cap="flat" cmpd="sng" algn="ctr">
              <a:noFill/>
              <a:round/>
            </a:ln>
            <a:effectLst/>
          </c:spPr>
        </c:majorGridlines>
        <c:numFmt formatCode="_(* #,##0.00_);_(* \(#,##0.00\);_(* &quot;-&quot;??_);_(@_)" sourceLinked="1"/>
        <c:majorTickMark val="none"/>
        <c:minorTickMark val="none"/>
        <c:tickLblPos val="nextTo"/>
        <c:crossAx val="1792382623"/>
        <c:crosses val="autoZero"/>
        <c:crossBetween val="between"/>
      </c:valAx>
      <c:serAx>
        <c:axId val="1833401791"/>
        <c:scaling>
          <c:orientation val="minMax"/>
        </c:scaling>
        <c:delete val="1"/>
        <c:axPos val="b"/>
        <c:majorTickMark val="none"/>
        <c:minorTickMark val="none"/>
        <c:tickLblPos val="nextTo"/>
        <c:crossAx val="1792383103"/>
        <c:crosses val="autoZero"/>
      </c:ser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solidFill>
            <a:schemeClr val="tx1"/>
          </a:solidFill>
        </a:defRPr>
      </a:pPr>
      <a:endParaRPr lang="es-DO"/>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hade val="6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667B-44E9-8A39-15AE6DB8ADE5}"/>
              </c:ext>
            </c:extLst>
          </c:dPt>
          <c:dPt>
            <c:idx val="1"/>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3-667B-44E9-8A39-15AE6DB8ADE5}"/>
              </c:ext>
            </c:extLst>
          </c:dPt>
          <c:dPt>
            <c:idx val="2"/>
            <c:bubble3D val="0"/>
            <c:spPr>
              <a:solidFill>
                <a:schemeClr val="accent1">
                  <a:tint val="6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5-667B-44E9-8A39-15AE6DB8ADE5}"/>
              </c:ext>
            </c:extLst>
          </c:dPt>
          <c:dLbls>
            <c:dLbl>
              <c:idx val="0"/>
              <c:layout>
                <c:manualLayout>
                  <c:x val="-8.757830271216098E-2"/>
                  <c:y val="-0.19448709536307962"/>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667B-44E9-8A39-15AE6DB8ADE5}"/>
                </c:ext>
              </c:extLst>
            </c:dLbl>
            <c:dLbl>
              <c:idx val="1"/>
              <c:layout>
                <c:manualLayout>
                  <c:x val="4.4356080489938741E-2"/>
                  <c:y val="0.170359434237387"/>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67B-44E9-8A39-15AE6DB8ADE5}"/>
                </c:ext>
              </c:extLst>
            </c:dLbl>
            <c:dLbl>
              <c:idx val="2"/>
              <c:layout>
                <c:manualLayout>
                  <c:x val="-0.14276905130448439"/>
                  <c:y val="6.5681444991789704E-3"/>
                </c:manualLayout>
              </c:layout>
              <c:showLegendKey val="0"/>
              <c:showVal val="1"/>
              <c:showCatName val="1"/>
              <c:showSerName val="0"/>
              <c:showPercent val="1"/>
              <c:showBubbleSize val="0"/>
              <c:extLst>
                <c:ext xmlns:c15="http://schemas.microsoft.com/office/drawing/2012/chart" uri="{CE6537A1-D6FC-4f65-9D91-7224C49458BB}">
                  <c15:layout>
                    <c:manualLayout>
                      <c:w val="0.25299145299145298"/>
                      <c:h val="0.35599343185550081"/>
                    </c:manualLayout>
                  </c15:layout>
                </c:ext>
                <c:ext xmlns:c16="http://schemas.microsoft.com/office/drawing/2014/chart" uri="{C3380CC4-5D6E-409C-BE32-E72D297353CC}">
                  <c16:uniqueId val="{00000005-667B-44E9-8A39-15AE6DB8ADE5}"/>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DO"/>
              </a:p>
            </c:txPr>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Sheet1!$H$2:$H$4</c:f>
              <c:strCache>
                <c:ptCount val="3"/>
                <c:pt idx="0">
                  <c:v>Grande</c:v>
                </c:pt>
                <c:pt idx="1">
                  <c:v>MIPYME</c:v>
                </c:pt>
                <c:pt idx="2">
                  <c:v>MIPYME Mujer</c:v>
                </c:pt>
              </c:strCache>
            </c:strRef>
          </c:cat>
          <c:val>
            <c:numRef>
              <c:f>Sheet1!$I$2:$I$4</c:f>
              <c:numCache>
                <c:formatCode>#,##0.00</c:formatCode>
                <c:ptCount val="3"/>
                <c:pt idx="0">
                  <c:v>118001390</c:v>
                </c:pt>
                <c:pt idx="1">
                  <c:v>118238055</c:v>
                </c:pt>
                <c:pt idx="2">
                  <c:v>19835653</c:v>
                </c:pt>
              </c:numCache>
            </c:numRef>
          </c:val>
          <c:extLst>
            <c:ext xmlns:c16="http://schemas.microsoft.com/office/drawing/2014/chart" uri="{C3380CC4-5D6E-409C-BE32-E72D297353CC}">
              <c16:uniqueId val="{00000006-667B-44E9-8A39-15AE6DB8ADE5}"/>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D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200">
          <a:solidFill>
            <a:schemeClr val="tx1">
              <a:lumMod val="50000"/>
              <a:lumOff val="50000"/>
            </a:schemeClr>
          </a:solidFill>
          <a:latin typeface="Times New Roman" panose="02020603050405020304" pitchFamily="18" charset="0"/>
          <a:cs typeface="Times New Roman" panose="02020603050405020304" pitchFamily="18" charset="0"/>
        </a:defRPr>
      </a:pPr>
      <a:endParaRPr lang="es-DO"/>
    </a:p>
  </c:txPr>
  <c:externalData r:id="rId3">
    <c:autoUpdate val="0"/>
  </c:externalData>
</c:chartSpace>
</file>

<file path=word/charts/colors1.xml><?xml version="1.0" encoding="utf-8"?>
<cs:colorStyle xmlns:cs="http://schemas.microsoft.com/office/drawing/2012/chartStyle" xmlns:a="http://schemas.openxmlformats.org/drawingml/2006/main" meth="withinLinear" id="14">
  <a:schemeClr val="accent1"/>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withinLinear" id="14">
  <a:schemeClr val="accent1"/>
</cs:colorStyle>
</file>

<file path=word/charts/colors1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withinLinear" id="14">
  <a:schemeClr val="accent1"/>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withinLinear" id="14">
  <a:schemeClr val="accent1"/>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withinLinear" id="14">
  <a:schemeClr val="accent1"/>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6.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7.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9.xml><?xml version="1.0" encoding="utf-8"?>
<cs:chartStyle xmlns:cs="http://schemas.microsoft.com/office/drawing/2012/chartStyle" xmlns:a="http://schemas.openxmlformats.org/drawingml/2006/main" id="263">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8100" tIns="19050" rIns="38100" bIns="19050" anchor="ctr" anchorCtr="1">
      <a:spAutoFit/>
    </cs:bodyPr>
  </cs:dataLabel>
  <cs:dataLabelCallout>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alpha val="70000"/>
        </a:schemeClr>
      </a:solidFill>
    </cs:spPr>
  </cs:dataPoint>
  <cs:dataPoint3D>
    <cs:lnRef idx="0">
      <cs:styleClr val="auto"/>
    </cs:lnRef>
    <cs:fillRef idx="0">
      <cs:styleClr val="auto"/>
    </cs:fillRef>
    <cs:effectRef idx="0">
      <cs:styleClr val="auto"/>
    </cs:effectRef>
    <cs:fontRef idx="minor">
      <a:schemeClr val="tx1"/>
    </cs:fontRef>
    <cs:spPr>
      <a:solidFill>
        <a:schemeClr val="phClr">
          <a:alpha val="90000"/>
        </a:schemeClr>
      </a:solidFill>
      <a:ln w="19050">
        <a:solidFill>
          <a:schemeClr val="phClr">
            <a:lumMod val="75000"/>
          </a:schemeClr>
        </a:solidFill>
      </a:ln>
      <a:effectLst>
        <a:innerShdw blurRad="114300">
          <a:schemeClr val="phClr">
            <a:lumMod val="75000"/>
          </a:schemeClr>
        </a:innerShdw>
      </a:effectLst>
      <a:scene3d>
        <a:camera prst="orthographicFront"/>
        <a:lightRig rig="threePt" dir="t"/>
      </a:scene3d>
      <a:sp3d contourW="19050" prstMaterial="flat">
        <a:contourClr>
          <a:schemeClr val="accent4">
            <a:lumMod val="75000"/>
          </a:schemeClr>
        </a:contourClr>
      </a:sp3d>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0.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00">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0.00845</cdr:x>
      <cdr:y>0.86338</cdr:y>
    </cdr:from>
    <cdr:to>
      <cdr:x>0.36463</cdr:x>
      <cdr:y>0.98459</cdr:y>
    </cdr:to>
    <cdr:sp macro="" textlink="">
      <cdr:nvSpPr>
        <cdr:cNvPr id="3" name="Rectangle: Rounded Corners 2">
          <a:extLst xmlns:a="http://schemas.openxmlformats.org/drawingml/2006/main">
            <a:ext uri="{FF2B5EF4-FFF2-40B4-BE49-F238E27FC236}">
              <a16:creationId xmlns:a16="http://schemas.microsoft.com/office/drawing/2014/main" id="{4B778B69-D4F7-2F41-BCA8-07BF8BDF29E3}"/>
            </a:ext>
          </a:extLst>
        </cdr:cNvPr>
        <cdr:cNvSpPr/>
      </cdr:nvSpPr>
      <cdr:spPr>
        <a:xfrm xmlns:a="http://schemas.openxmlformats.org/drawingml/2006/main">
          <a:off x="47535" y="2137602"/>
          <a:ext cx="2003678" cy="300099"/>
        </a:xfrm>
        <a:prstGeom xmlns:a="http://schemas.openxmlformats.org/drawingml/2006/main" prst="roundRect">
          <a:avLst/>
        </a:prstGeom>
      </cdr:spPr>
      <cdr:style>
        <a:lnRef xmlns:a="http://schemas.openxmlformats.org/drawingml/2006/main" idx="2">
          <a:schemeClr val="accent1"/>
        </a:lnRef>
        <a:fillRef xmlns:a="http://schemas.openxmlformats.org/drawingml/2006/main" idx="1">
          <a:schemeClr val="lt1"/>
        </a:fillRef>
        <a:effectRef xmlns:a="http://schemas.openxmlformats.org/drawingml/2006/main" idx="0">
          <a:schemeClr val="accent1"/>
        </a:effectRef>
        <a:fontRef xmlns:a="http://schemas.openxmlformats.org/drawingml/2006/main" idx="minor">
          <a:schemeClr val="dk1"/>
        </a:fontRef>
      </cdr:style>
      <cdr:txBody>
        <a:bodyPr xmlns:a="http://schemas.openxmlformats.org/drawingml/2006/main" vertOverflow="clip" anchor="b"/>
        <a:lstStyle xmlns:a="http://schemas.openxmlformats.org/drawingml/2006/main"/>
        <a:p xmlns:a="http://schemas.openxmlformats.org/drawingml/2006/main">
          <a:pPr algn="ctr"/>
          <a:r>
            <a:rPr lang="en-US"/>
            <a:t>8652.26/8760*100)</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0c744ef6-fcb6-4ebf-8af4-d63ebe266dc0"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AFA4164F3B929C41BEA62DC8E284B6A2" ma:contentTypeVersion="10" ma:contentTypeDescription="Create a new document." ma:contentTypeScope="" ma:versionID="0c4df9716579b27c5a75cd697a65d3e0">
  <xsd:schema xmlns:xsd="http://www.w3.org/2001/XMLSchema" xmlns:xs="http://www.w3.org/2001/XMLSchema" xmlns:p="http://schemas.microsoft.com/office/2006/metadata/properties" xmlns:ns3="0c744ef6-fcb6-4ebf-8af4-d63ebe266dc0" targetNamespace="http://schemas.microsoft.com/office/2006/metadata/properties" ma:root="true" ma:fieldsID="1b427301489be47d5dbb0669a63b2ce0" ns3:_="">
    <xsd:import namespace="0c744ef6-fcb6-4ebf-8af4-d63ebe266dc0"/>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_activity" minOccurs="0"/>
                <xsd:element ref="ns3:MediaServiceSystemTags"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c744ef6-fcb6-4ebf-8af4-d63ebe266dc0"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_activity" ma:index="13" nillable="true" ma:displayName="_activity" ma:hidden="true" ma:internalName="_activity">
      <xsd:simpleType>
        <xsd:restriction base="dms:Note"/>
      </xsd:simpleType>
    </xsd:element>
    <xsd:element name="MediaServiceSystemTags" ma:index="14" nillable="true" ma:displayName="MediaServiceSystemTags" ma:hidden="true" ma:internalName="MediaServiceSystemTags" ma:readOnly="true">
      <xsd:simpleType>
        <xsd:restriction base="dms:Note"/>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38519A3-737E-4B8A-97D7-2B1C18A05F79}">
  <ds:schemaRefs>
    <ds:schemaRef ds:uri="http://purl.org/dc/dcmitype/"/>
    <ds:schemaRef ds:uri="http://www.w3.org/XML/1998/namespace"/>
    <ds:schemaRef ds:uri="http://purl.org/dc/elements/1.1/"/>
    <ds:schemaRef ds:uri="0c744ef6-fcb6-4ebf-8af4-d63ebe266dc0"/>
    <ds:schemaRef ds:uri="http://schemas.microsoft.com/office/2006/metadata/properties"/>
    <ds:schemaRef ds:uri="http://schemas.microsoft.com/office/2006/documentManagement/types"/>
    <ds:schemaRef ds:uri="http://schemas.microsoft.com/office/infopath/2007/PartnerControls"/>
    <ds:schemaRef ds:uri="http://schemas.openxmlformats.org/package/2006/metadata/core-properties"/>
    <ds:schemaRef ds:uri="http://purl.org/dc/terms/"/>
  </ds:schemaRefs>
</ds:datastoreItem>
</file>

<file path=customXml/itemProps2.xml><?xml version="1.0" encoding="utf-8"?>
<ds:datastoreItem xmlns:ds="http://schemas.openxmlformats.org/officeDocument/2006/customXml" ds:itemID="{97C0ECA0-36DE-4FB3-AA8D-115A96425E09}">
  <ds:schemaRefs>
    <ds:schemaRef ds:uri="http://schemas.openxmlformats.org/officeDocument/2006/bibliography"/>
  </ds:schemaRefs>
</ds:datastoreItem>
</file>

<file path=customXml/itemProps3.xml><?xml version="1.0" encoding="utf-8"?>
<ds:datastoreItem xmlns:ds="http://schemas.openxmlformats.org/officeDocument/2006/customXml" ds:itemID="{2B86EADB-1DD2-40B1-80B0-568CCBA971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c744ef6-fcb6-4ebf-8af4-d63ebe266d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AA6A8AC-2F16-4F2C-93EC-4EF0745AC96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4377</TotalTime>
  <Pages>139</Pages>
  <Words>27028</Words>
  <Characters>154061</Characters>
  <Application>Microsoft Office Word</Application>
  <DocSecurity>0</DocSecurity>
  <Lines>1283</Lines>
  <Paragraphs>361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180728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Cynthia Peña</dc:creator>
  <cp:keywords/>
  <dc:description/>
  <cp:lastModifiedBy>Johanny Salcedo de los Santos</cp:lastModifiedBy>
  <cp:revision>440</cp:revision>
  <cp:lastPrinted>2026-01-30T16:46:00Z</cp:lastPrinted>
  <dcterms:created xsi:type="dcterms:W3CDTF">2025-11-04T14:28:00Z</dcterms:created>
  <dcterms:modified xsi:type="dcterms:W3CDTF">2026-01-30T16:47:00Z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0x010100AFA4164F3B929C41BEA62DC8E284B6A2</vt:lpwstr>
  </property>
</Properties>
</file>